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М</w:t>
      </w:r>
      <w:r>
        <w:rPr>
          <w:b w:val="1"/>
          <w:sz w:val="24"/>
        </w:rPr>
        <w:t>етодические рекомендации по проведению</w:t>
      </w:r>
      <w:r>
        <w:rPr>
          <w:b w:val="1"/>
          <w:sz w:val="24"/>
        </w:rPr>
        <w:t xml:space="preserve"> встречи по теме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«Ошта, чтобы помнили…»</w:t>
      </w:r>
      <w:r>
        <w:rPr>
          <w:b w:val="1"/>
          <w:sz w:val="24"/>
        </w:rPr>
        <w:t xml:space="preserve">, </w:t>
      </w:r>
      <w:r>
        <w:rPr>
          <w:b w:val="1"/>
          <w:sz w:val="24"/>
        </w:rPr>
        <w:t>п</w:t>
      </w:r>
      <w:r>
        <w:rPr>
          <w:b w:val="1"/>
          <w:sz w:val="24"/>
        </w:rPr>
        <w:t>освященные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Дню</w:t>
      </w:r>
      <w:r>
        <w:rPr>
          <w:b w:val="1"/>
          <w:sz w:val="24"/>
        </w:rPr>
        <w:t xml:space="preserve"> окончания Оштинской обороны (</w:t>
      </w:r>
      <w:r>
        <w:rPr>
          <w:b w:val="1"/>
          <w:sz w:val="24"/>
        </w:rPr>
        <w:t>20 июня)</w:t>
      </w:r>
    </w:p>
    <w:p w14:paraId="02000000">
      <w:pPr>
        <w:ind w:firstLine="709" w:left="0"/>
        <w:jc w:val="center"/>
        <w:rPr>
          <w:sz w:val="24"/>
        </w:rPr>
      </w:pPr>
      <w:r>
        <w:rPr>
          <w:sz w:val="24"/>
        </w:rPr>
        <w:t>2016 год</w:t>
      </w:r>
    </w:p>
    <w:p w14:paraId="03000000">
      <w:pPr>
        <w:ind w:firstLine="709" w:left="0"/>
        <w:jc w:val="both"/>
        <w:rPr>
          <w:b w:val="1"/>
          <w:sz w:val="24"/>
        </w:rPr>
      </w:pPr>
    </w:p>
    <w:p w14:paraId="04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– воспитание чувства патриотизма и гордости за </w:t>
      </w:r>
      <w:r>
        <w:rPr>
          <w:sz w:val="24"/>
        </w:rPr>
        <w:t>Отечество и малую Родину</w:t>
      </w:r>
      <w:r>
        <w:rPr>
          <w:sz w:val="24"/>
        </w:rPr>
        <w:t>.</w:t>
      </w:r>
    </w:p>
    <w:p w14:paraId="05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Участники:</w:t>
      </w:r>
      <w:r>
        <w:rPr>
          <w:sz w:val="24"/>
        </w:rPr>
        <w:t xml:space="preserve"> </w:t>
      </w:r>
      <w:r>
        <w:rPr>
          <w:sz w:val="24"/>
        </w:rPr>
        <w:t>молодежь Вологодской области в возрасте от 14 до 30 лет.</w:t>
      </w:r>
      <w:r>
        <w:rPr>
          <w:sz w:val="24"/>
        </w:rPr>
        <w:t xml:space="preserve"> </w:t>
      </w:r>
    </w:p>
    <w:p w14:paraId="06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Организаторы:</w:t>
      </w:r>
      <w:r>
        <w:rPr>
          <w:sz w:val="24"/>
        </w:rPr>
        <w:t xml:space="preserve"> </w:t>
      </w:r>
      <w:r>
        <w:rPr>
          <w:sz w:val="24"/>
        </w:rPr>
        <w:t>образовательные организации, организации дополнительного образования, молодежные общественные объединения, учреждения культуры, летние оздоровительные лагеря и др.</w:t>
      </w:r>
    </w:p>
    <w:p w14:paraId="07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Форма</w:t>
      </w:r>
      <w:r>
        <w:rPr>
          <w:b w:val="1"/>
          <w:sz w:val="24"/>
        </w:rPr>
        <w:t xml:space="preserve">: </w:t>
      </w:r>
      <w:r>
        <w:rPr>
          <w:sz w:val="24"/>
        </w:rPr>
        <w:t>встреча.</w:t>
      </w:r>
    </w:p>
    <w:p w14:paraId="08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 xml:space="preserve">Реквизит: </w:t>
      </w:r>
      <w:r>
        <w:rPr>
          <w:sz w:val="24"/>
        </w:rPr>
        <w:t xml:space="preserve">проектор, </w:t>
      </w:r>
      <w:r>
        <w:rPr>
          <w:sz w:val="24"/>
        </w:rPr>
        <w:t>экран, ноутбук.</w:t>
      </w:r>
    </w:p>
    <w:p w14:paraId="09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Содержание</w:t>
      </w:r>
    </w:p>
    <w:p w14:paraId="0A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Законом Вологодской области от 24 апреля 2015 года «О памятных датах Вологодской области» установлена памятная дата – 20 июня – День окончания Оштинской обороны. </w:t>
      </w:r>
    </w:p>
    <w:p w14:paraId="0B000000">
      <w:pPr>
        <w:ind w:firstLine="709" w:left="0"/>
        <w:jc w:val="both"/>
        <w:rPr>
          <w:sz w:val="24"/>
        </w:rPr>
      </w:pPr>
      <w:r>
        <w:rPr>
          <w:sz w:val="24"/>
        </w:rPr>
        <w:t>В рамках проведения мероприятий, посвященных Дню окончания Оштинской обороны, рекомендуем организовать и провести встречу по теме «Ошта, чтобы помнили…», где участникам будет рассказано о событиях Оштинской обороны и предложен к просмотру документальный фильм «Ошта, чтобы помнили…», созданный силами поискового отряда «Оштинский рубеж» и его руководителем Игорем Зубовым.</w:t>
      </w:r>
      <w:r>
        <w:rPr>
          <w:sz w:val="24"/>
        </w:rPr>
        <w:t xml:space="preserve"> </w:t>
      </w:r>
      <w:r>
        <w:rPr>
          <w:sz w:val="24"/>
        </w:rPr>
        <w:t xml:space="preserve">Фильм можно скачать, пройдя по ссылке </w:t>
      </w:r>
      <w:r>
        <w:rPr>
          <w:rStyle w:val="Style_1_ch"/>
          <w:color w:val="000000"/>
          <w:sz w:val="24"/>
          <w:u w:val="none"/>
        </w:rPr>
        <w:fldChar w:fldCharType="begin"/>
      </w:r>
      <w:r>
        <w:rPr>
          <w:rStyle w:val="Style_1_ch"/>
          <w:color w:val="000000"/>
          <w:sz w:val="24"/>
          <w:u w:val="none"/>
        </w:rPr>
        <w:instrText>HYPERLINK "https://yadi.sk/i/nGLJHVJcrGqx7"</w:instrText>
      </w:r>
      <w:r>
        <w:rPr>
          <w:rStyle w:val="Style_1_ch"/>
          <w:color w:val="000000"/>
          <w:sz w:val="24"/>
          <w:u w:val="none"/>
        </w:rPr>
        <w:fldChar w:fldCharType="separate"/>
      </w:r>
      <w:r>
        <w:rPr>
          <w:rStyle w:val="Style_1_ch"/>
          <w:color w:val="000000"/>
          <w:sz w:val="24"/>
          <w:u w:val="none"/>
        </w:rPr>
        <w:t>https://yadi.sk/i/nGLJHVJcrGqx7</w:t>
      </w:r>
      <w:r>
        <w:rPr>
          <w:rStyle w:val="Style_1_ch"/>
          <w:color w:val="000000"/>
          <w:sz w:val="24"/>
          <w:u w:val="none"/>
        </w:rPr>
        <w:fldChar w:fldCharType="end"/>
      </w:r>
      <w:r>
        <w:t xml:space="preserve">. </w:t>
      </w:r>
      <w:r>
        <w:rPr>
          <w:sz w:val="24"/>
        </w:rPr>
        <w:t xml:space="preserve">По итогам просмотра рекомендуем организовать обсуждение фильма. </w:t>
      </w:r>
    </w:p>
    <w:p w14:paraId="0C000000">
      <w:pPr>
        <w:ind w:firstLine="709" w:left="0"/>
        <w:jc w:val="both"/>
        <w:rPr>
          <w:sz w:val="24"/>
        </w:rPr>
      </w:pPr>
      <w:r>
        <w:rPr>
          <w:sz w:val="24"/>
        </w:rPr>
        <w:t>Проведение встречи осуществляет ведущий/модератор,</w:t>
      </w:r>
      <w:r>
        <w:rPr>
          <w:sz w:val="24"/>
        </w:rPr>
        <w:t xml:space="preserve"> который организует процесс коммуникации участников встречи при обсуждении темы.</w:t>
      </w:r>
    </w:p>
    <w:p w14:paraId="0D000000">
      <w:pPr>
        <w:ind/>
        <w:jc w:val="both"/>
        <w:rPr>
          <w:sz w:val="24"/>
        </w:rPr>
      </w:pPr>
    </w:p>
    <w:p w14:paraId="0E000000">
      <w:pPr>
        <w:ind w:firstLine="709" w:left="0"/>
        <w:jc w:val="center"/>
      </w:pPr>
      <w:r>
        <w:rPr>
          <w:sz w:val="24"/>
        </w:rPr>
        <w:t>Информация для вводного слова ведущего/модератора</w:t>
      </w:r>
    </w:p>
    <w:p w14:paraId="0F000000">
      <w:pPr>
        <w:ind w:firstLine="709" w:left="0"/>
        <w:jc w:val="both"/>
        <w:rPr>
          <w:spacing w:val="20"/>
          <w:sz w:val="24"/>
        </w:rPr>
      </w:pPr>
    </w:p>
    <w:p w14:paraId="10000000">
      <w:pPr>
        <w:ind w:firstLine="709" w:left="0"/>
        <w:jc w:val="both"/>
        <w:rPr>
          <w:spacing w:val="20"/>
          <w:sz w:val="24"/>
        </w:rPr>
      </w:pPr>
      <w:r>
        <w:rPr>
          <w:sz w:val="24"/>
        </w:rPr>
        <w:t>Территория Вологодской области в годы Великой Отечественной войны считалась прифронтовой. Особая роль выпала на долю Вытегорского района. В окрестностях села Ошта в течение трех лет проходил передний край обороны частей Красной Армии, сдерживающих наступление финских войск. Оштинская оборона началась в октябре 1941 года и продолжалась 990 дней и ночей – до 19 июня 1944 года.</w:t>
      </w:r>
    </w:p>
    <w:p w14:paraId="11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Финны </w:t>
      </w:r>
      <w:r>
        <w:rPr>
          <w:sz w:val="24"/>
        </w:rPr>
        <w:t>планировали нанести удар в двух</w:t>
      </w:r>
      <w:r>
        <w:rPr>
          <w:sz w:val="24"/>
        </w:rPr>
        <w:t xml:space="preserve"> направлениях. </w:t>
      </w:r>
      <w:r>
        <w:rPr>
          <w:sz w:val="24"/>
        </w:rPr>
        <w:t>В</w:t>
      </w:r>
      <w:r>
        <w:rPr>
          <w:sz w:val="24"/>
        </w:rPr>
        <w:t xml:space="preserve"> юго-западном</w:t>
      </w:r>
      <w:r>
        <w:rPr>
          <w:sz w:val="24"/>
        </w:rPr>
        <w:t xml:space="preserve"> направлении</w:t>
      </w:r>
      <w:r>
        <w:rPr>
          <w:sz w:val="24"/>
        </w:rPr>
        <w:t xml:space="preserve"> они намеревались форсировать </w:t>
      </w:r>
      <w:r>
        <w:rPr>
          <w:sz w:val="24"/>
        </w:rPr>
        <w:t xml:space="preserve">реку </w:t>
      </w:r>
      <w:r>
        <w:rPr>
          <w:sz w:val="24"/>
        </w:rPr>
        <w:t xml:space="preserve">Свирь и соединиться с немцами, а </w:t>
      </w:r>
      <w:r>
        <w:rPr>
          <w:sz w:val="24"/>
        </w:rPr>
        <w:t xml:space="preserve">в </w:t>
      </w:r>
      <w:r>
        <w:rPr>
          <w:sz w:val="24"/>
        </w:rPr>
        <w:t>юго-восточном – обойти Онежское озеро, выйти к Мариинской водной системе и углубиться на территорию Вологодской области.</w:t>
      </w:r>
    </w:p>
    <w:p w14:paraId="12000000">
      <w:pPr>
        <w:ind w:firstLine="709" w:left="0"/>
        <w:jc w:val="both"/>
        <w:rPr>
          <w:sz w:val="24"/>
        </w:rPr>
      </w:pPr>
      <w:r>
        <w:rPr>
          <w:sz w:val="24"/>
        </w:rPr>
        <w:t>Захватив Петрозаводск, финны 1 октября 1941 года пересекли реку Свирь, подожгли поселок Вознесенкий. 74-й разведывательный батальон отступил. Войска маршала Маннергейма оказались в 18 километрах от села Ошта Вологодской области.</w:t>
      </w:r>
    </w:p>
    <w:p w14:paraId="13000000">
      <w:pPr>
        <w:ind w:firstLine="709" w:left="0"/>
        <w:jc w:val="both"/>
        <w:rPr>
          <w:sz w:val="24"/>
        </w:rPr>
      </w:pPr>
      <w:r>
        <w:rPr>
          <w:sz w:val="24"/>
        </w:rPr>
        <w:t>Бойцы созданного в Оште истребительного батальона</w:t>
      </w:r>
      <w:r>
        <w:rPr>
          <w:sz w:val="24"/>
        </w:rPr>
        <w:t xml:space="preserve"> </w:t>
      </w:r>
      <w:r>
        <w:rPr>
          <w:sz w:val="24"/>
        </w:rPr>
        <w:t>в числе 110 человек охраняли военные объекты, патрулировали дороги, поджигали занятые финскими солдатами деревни, противостояли диверсионным группам противника, помогали красноармейским разведчикам переходить линию фронта. Они минировали подступы к охраняемым гарнизонам, рыли окопы, строили блиндажи и другие оборонительные сооружения, разминировали дороги и тропы.</w:t>
      </w:r>
    </w:p>
    <w:p w14:paraId="14000000">
      <w:pPr>
        <w:ind w:firstLine="709" w:left="0"/>
        <w:jc w:val="both"/>
        <w:rPr>
          <w:sz w:val="24"/>
        </w:rPr>
      </w:pPr>
      <w:r>
        <w:rPr>
          <w:sz w:val="24"/>
        </w:rPr>
        <w:t>8 октября 1941 года наступление финских войск было приостановлено. Вытегру прикрыли части 272-й стрелковой дивизии. На следующий день первые подразделения этой дивизии прибыли в Ошту. Финны попытались с ходу взять этот населенный пункт, но так и не смогли.</w:t>
      </w:r>
    </w:p>
    <w:p w14:paraId="1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Батальоны 1065-го и 1063-го стрелковых полков, Оштинский истребительный батальон, 368-я стрелковая дивизия стойко держали оборону. </w:t>
      </w:r>
    </w:p>
    <w:p w14:paraId="1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Попытки наступления на позиции финских войск также оканчивались неудачей. Началась «позиционная война» (война, во время которой военные действия с обеих сторон малорезультативны, наступательные операции неэффективны, период обороны обеих сторон длительнее попыток наступления), которая длилась до июня 1944 года. </w:t>
      </w:r>
    </w:p>
    <w:p w14:paraId="17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19 апреля 368-я стрелковая дивизия перешла в наступление в направлении Петразаводска, через шесть дней в результате тяжелых боев Оштинский район был освобожден. </w:t>
      </w:r>
    </w:p>
    <w:p w14:paraId="18000000">
      <w:pPr>
        <w:ind w:firstLine="709" w:left="0"/>
        <w:jc w:val="both"/>
        <w:rPr>
          <w:sz w:val="24"/>
        </w:rPr>
      </w:pPr>
      <w:r>
        <w:rPr>
          <w:sz w:val="24"/>
        </w:rPr>
        <w:t>Оштинская оборона не закончилась в июне 1944 года, поскольку огромные территории вокруг поселения остались заминированы, и служба продолжалась, не менее трудная и опасная, чем в период отражения атак финской армии.</w:t>
      </w:r>
    </w:p>
    <w:p w14:paraId="19000000">
      <w:pPr>
        <w:ind w:firstLine="709" w:left="0"/>
        <w:jc w:val="both"/>
        <w:rPr>
          <w:sz w:val="24"/>
        </w:rPr>
      </w:pPr>
    </w:p>
    <w:p w14:paraId="1A000000">
      <w:pPr>
        <w:ind/>
        <w:jc w:val="both"/>
        <w:rPr>
          <w:b w:val="1"/>
          <w:sz w:val="24"/>
        </w:rPr>
      </w:pPr>
      <w:r>
        <w:rPr>
          <w:sz w:val="24"/>
        </w:rPr>
        <w:tab/>
      </w:r>
      <w:r>
        <w:rPr>
          <w:b w:val="1"/>
          <w:sz w:val="24"/>
        </w:rPr>
        <w:t>Вопросы для обсуждения документального фильма «Ошта, чтобы помнили…»</w:t>
      </w:r>
    </w:p>
    <w:p w14:paraId="1B000000">
      <w:pPr>
        <w:ind/>
        <w:jc w:val="both"/>
        <w:rPr>
          <w:sz w:val="24"/>
        </w:rPr>
      </w:pPr>
      <w:r>
        <w:rPr>
          <w:sz w:val="24"/>
        </w:rPr>
        <w:t>(организаторы вправе вынести на обсуждение другие вопросы в рамках темы встречи)</w:t>
      </w:r>
    </w:p>
    <w:p w14:paraId="1C000000">
      <w:pPr>
        <w:ind w:firstLine="709" w:left="0"/>
        <w:jc w:val="both"/>
      </w:pPr>
    </w:p>
    <w:p w14:paraId="1D000000">
      <w:pPr>
        <w:pStyle w:val="Style_2"/>
        <w:numPr>
          <w:ilvl w:val="0"/>
          <w:numId w:val="1"/>
        </w:numPr>
        <w:tabs>
          <w:tab w:leader="none" w:pos="993" w:val="left"/>
        </w:tabs>
        <w:spacing w:after="0" w:line="240" w:lineRule="auto"/>
        <w:ind w:hanging="11" w:left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эмоции у</w:t>
      </w:r>
      <w:r>
        <w:rPr>
          <w:rFonts w:ascii="Times New Roman" w:hAnsi="Times New Roman"/>
          <w:sz w:val="24"/>
        </w:rPr>
        <w:t xml:space="preserve"> вас вызвал данный фильм?</w:t>
      </w:r>
    </w:p>
    <w:p w14:paraId="1E000000">
      <w:pPr>
        <w:pStyle w:val="Style_2"/>
        <w:numPr>
          <w:ilvl w:val="0"/>
          <w:numId w:val="1"/>
        </w:numPr>
        <w:tabs>
          <w:tab w:leader="none" w:pos="993" w:val="left"/>
        </w:tabs>
        <w:spacing w:after="0" w:line="240" w:lineRule="auto"/>
        <w:ind w:hanging="11" w:left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вопросы и мысли возникли у вас во время просмотра фильма?</w:t>
      </w:r>
    </w:p>
    <w:p w14:paraId="1F000000">
      <w:pPr>
        <w:pStyle w:val="Style_2"/>
        <w:numPr>
          <w:ilvl w:val="0"/>
          <w:numId w:val="1"/>
        </w:numPr>
        <w:tabs>
          <w:tab w:leader="none" w:pos="993" w:val="left"/>
        </w:tabs>
        <w:spacing w:after="0" w:line="240" w:lineRule="auto"/>
        <w:ind w:hanging="11" w:left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Проходили ли боевые действия на территории Вологодской области в годы Великой</w:t>
      </w:r>
    </w:p>
    <w:p w14:paraId="20000000">
      <w:pPr>
        <w:tabs>
          <w:tab w:leader="none" w:pos="993" w:val="left"/>
        </w:tabs>
        <w:ind w:hanging="11" w:left="11"/>
        <w:jc w:val="both"/>
        <w:rPr>
          <w:sz w:val="24"/>
        </w:rPr>
      </w:pPr>
      <w:r>
        <w:rPr>
          <w:sz w:val="24"/>
        </w:rPr>
        <w:t xml:space="preserve">Отечественной войны? </w:t>
      </w:r>
    </w:p>
    <w:p w14:paraId="21000000">
      <w:pPr>
        <w:pStyle w:val="Style_2"/>
        <w:numPr>
          <w:ilvl w:val="0"/>
          <w:numId w:val="1"/>
        </w:numPr>
        <w:tabs>
          <w:tab w:leader="none" w:pos="993" w:val="left"/>
        </w:tabs>
        <w:spacing w:after="0" w:line="240" w:lineRule="auto"/>
        <w:ind w:hanging="11" w:left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чем, по вашему мнению, заключается значение Оштинской обороны?</w:t>
      </w:r>
    </w:p>
    <w:p w14:paraId="22000000">
      <w:pPr>
        <w:pStyle w:val="Style_2"/>
        <w:numPr>
          <w:ilvl w:val="0"/>
          <w:numId w:val="1"/>
        </w:numPr>
        <w:tabs>
          <w:tab w:leader="none" w:pos="993" w:val="left"/>
        </w:tabs>
        <w:spacing w:after="0" w:line="240" w:lineRule="auto"/>
        <w:ind w:hanging="11" w:left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Воспоминания участников тех трагических событий – бесценная память. Знаете ли</w:t>
      </w:r>
    </w:p>
    <w:p w14:paraId="23000000">
      <w:pPr>
        <w:tabs>
          <w:tab w:leader="none" w:pos="993" w:val="left"/>
        </w:tabs>
        <w:ind w:hanging="11" w:left="11"/>
        <w:jc w:val="both"/>
        <w:rPr>
          <w:sz w:val="24"/>
        </w:rPr>
      </w:pPr>
      <w:r>
        <w:rPr>
          <w:sz w:val="24"/>
        </w:rPr>
        <w:t xml:space="preserve">вы о судьбе ваших родственников в годы Великой Отечественной войны? Где застала их война? 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9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1 ТЕКСТ 14-12"/>
    <w:link w:val="Style_8_ch"/>
    <w:pPr>
      <w:tabs>
        <w:tab w:leader="none" w:pos="850" w:val="left"/>
      </w:tabs>
      <w:ind w:firstLine="397" w:left="0"/>
      <w:jc w:val="both"/>
    </w:pPr>
    <w:rPr>
      <w:rFonts w:ascii="Classic Russian" w:hAnsi="Classic Russian"/>
      <w:color w:val="000000"/>
      <w:sz w:val="24"/>
    </w:rPr>
  </w:style>
  <w:style w:styleId="Style_8_ch" w:type="character">
    <w:name w:val="1 ТЕКСТ 14-12"/>
    <w:link w:val="Style_8"/>
    <w:rPr>
      <w:rFonts w:ascii="Classic Russian" w:hAnsi="Classic Russian"/>
      <w:color w:val="000000"/>
      <w:sz w:val="24"/>
    </w:rPr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numPr>
        <w:ilvl w:val="2"/>
        <w:numId w:val="2"/>
      </w:numPr>
      <w:spacing w:after="60" w:before="60"/>
      <w:ind/>
      <w:jc w:val="center"/>
      <w:outlineLvl w:val="2"/>
    </w:pPr>
    <w:rPr>
      <w:sz w:val="24"/>
    </w:rPr>
  </w:style>
  <w:style w:styleId="Style_9_ch" w:type="character">
    <w:name w:val="heading 3"/>
    <w:basedOn w:val="Style_3_ch"/>
    <w:link w:val="Style_9"/>
    <w:rPr>
      <w:sz w:val="24"/>
    </w:rPr>
  </w:style>
  <w:style w:styleId="Style_10" w:type="paragraph">
    <w:name w:val="np"/>
    <w:basedOn w:val="Style_3"/>
    <w:link w:val="Style_10_ch"/>
    <w:pPr>
      <w:ind w:firstLine="133" w:left="0"/>
    </w:pPr>
    <w:rPr>
      <w:rFonts w:ascii="Arial" w:hAnsi="Arial"/>
      <w:color w:val="000000"/>
    </w:rPr>
  </w:style>
  <w:style w:styleId="Style_10_ch" w:type="character">
    <w:name w:val="np"/>
    <w:basedOn w:val="Style_3_ch"/>
    <w:link w:val="Style_10"/>
    <w:rPr>
      <w:rFonts w:ascii="Arial" w:hAnsi="Arial"/>
      <w:color w:val="000000"/>
    </w:rPr>
  </w:style>
  <w:style w:styleId="Style_11" w:type="paragraph">
    <w:name w:val="consplusnonformat"/>
    <w:basedOn w:val="Style_3"/>
    <w:link w:val="Style_11_ch"/>
    <w:pPr>
      <w:widowControl w:val="0"/>
      <w:spacing w:after="280" w:before="280"/>
      <w:ind/>
    </w:pPr>
    <w:rPr>
      <w:sz w:val="24"/>
    </w:rPr>
  </w:style>
  <w:style w:styleId="Style_11_ch" w:type="character">
    <w:name w:val="consplusnonformat"/>
    <w:basedOn w:val="Style_3_ch"/>
    <w:link w:val="Style_11"/>
    <w:rPr>
      <w:sz w:val="24"/>
    </w:rPr>
  </w:style>
  <w:style w:styleId="Style_12" w:type="paragraph">
    <w:name w:val="Базовый"/>
    <w:link w:val="Style_12_ch"/>
    <w:pPr>
      <w:tabs>
        <w:tab w:leader="none" w:pos="708" w:val="left"/>
      </w:tabs>
      <w:spacing w:after="200" w:line="276" w:lineRule="auto"/>
      <w:ind/>
    </w:pPr>
  </w:style>
  <w:style w:styleId="Style_12_ch" w:type="character">
    <w:name w:val="Базовый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Main Indent"/>
    <w:basedOn w:val="Style_3"/>
    <w:link w:val="Style_14_ch"/>
    <w:pPr>
      <w:spacing w:line="200" w:lineRule="atLeast"/>
      <w:ind/>
      <w:jc w:val="both"/>
    </w:pPr>
    <w:rPr>
      <w:rFonts w:ascii="JournalSansCTT" w:hAnsi="JournalSansCTT"/>
      <w:sz w:val="18"/>
    </w:rPr>
  </w:style>
  <w:style w:styleId="Style_14_ch" w:type="character">
    <w:name w:val="Main Indent"/>
    <w:basedOn w:val="Style_3_ch"/>
    <w:link w:val="Style_14"/>
    <w:rPr>
      <w:rFonts w:ascii="JournalSansCTT" w:hAnsi="JournalSansCTT"/>
      <w:sz w:val="18"/>
    </w:rPr>
  </w:style>
  <w:style w:styleId="Style_15" w:type="paragraph">
    <w:name w:val="apple-converted-space"/>
    <w:basedOn w:val="Style_16"/>
    <w:link w:val="Style_15_ch"/>
  </w:style>
  <w:style w:styleId="Style_15_ch" w:type="character">
    <w:name w:val="apple-converted-space"/>
    <w:basedOn w:val="Style_16_ch"/>
    <w:link w:val="Style_15"/>
  </w:style>
  <w:style w:styleId="Style_2" w:type="paragraph">
    <w:name w:val="List Paragraph"/>
    <w:basedOn w:val="Style_3"/>
    <w:link w:val="Style_2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3_ch"/>
    <w:link w:val="Style_2"/>
    <w:rPr>
      <w:rFonts w:ascii="Calibri" w:hAnsi="Calibri"/>
      <w:sz w:val="22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3"/>
    <w:next w:val="Style_3"/>
    <w:link w:val="Style_18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18_ch" w:type="character">
    <w:name w:val="heading 1"/>
    <w:basedOn w:val="Style_3_ch"/>
    <w:link w:val="Style_18"/>
    <w:rPr>
      <w:rFonts w:ascii="Cambria" w:hAnsi="Cambria"/>
      <w:b w:val="1"/>
      <w:color w:val="365F91"/>
      <w:sz w:val="28"/>
    </w:rPr>
  </w:style>
  <w:style w:styleId="Style_19" w:type="paragraph">
    <w:name w:val="Текст в заданном формате"/>
    <w:basedOn w:val="Style_3"/>
    <w:link w:val="Style_19_ch"/>
    <w:pPr>
      <w:widowControl w:val="0"/>
      <w:ind/>
    </w:pPr>
    <w:rPr>
      <w:rFonts w:ascii="Nimbus Roman No9 L" w:hAnsi="Nimbus Roman No9 L"/>
    </w:rPr>
  </w:style>
  <w:style w:styleId="Style_19_ch" w:type="character">
    <w:name w:val="Текст в заданном формате"/>
    <w:basedOn w:val="Style_3_ch"/>
    <w:link w:val="Style_19"/>
    <w:rPr>
      <w:rFonts w:ascii="Nimbus Roman No9 L" w:hAnsi="Nimbus Roman No9 L"/>
    </w:rPr>
  </w:style>
  <w:style w:styleId="Style_1" w:type="paragraph">
    <w:name w:val="Hyperlink"/>
    <w:link w:val="Style_1_ch"/>
    <w:rPr>
      <w:color w:val="0563C1"/>
      <w:u w:val="single"/>
    </w:rPr>
  </w:style>
  <w:style w:styleId="Style_1_ch" w:type="character">
    <w:name w:val="Hyperlink"/>
    <w:link w:val="Style_1"/>
    <w:rPr>
      <w:color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Normal (Web)"/>
    <w:basedOn w:val="Style_3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Normal (Web)"/>
    <w:basedOn w:val="Style_3_ch"/>
    <w:link w:val="Style_23"/>
    <w:rPr>
      <w:sz w:val="24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ody Text Indent"/>
    <w:basedOn w:val="Style_3"/>
    <w:link w:val="Style_27_ch"/>
    <w:pPr>
      <w:spacing w:after="120"/>
      <w:ind w:firstLine="0" w:left="283"/>
    </w:pPr>
  </w:style>
  <w:style w:styleId="Style_27_ch" w:type="character">
    <w:name w:val="Body Text Indent"/>
    <w:basedOn w:val="Style_3_ch"/>
    <w:link w:val="Style_27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8" w:type="paragraph">
    <w:name w:val="Default"/>
    <w:link w:val="Style_28_ch"/>
    <w:rPr>
      <w:color w:val="000000"/>
      <w:sz w:val="24"/>
    </w:rPr>
  </w:style>
  <w:style w:styleId="Style_28_ch" w:type="character">
    <w:name w:val="Default"/>
    <w:link w:val="Style_28"/>
    <w:rPr>
      <w:color w:val="000000"/>
      <w:sz w:val="24"/>
    </w:rPr>
  </w:style>
  <w:style w:styleId="Style_29" w:type="paragraph">
    <w:name w:val="Balloon Text"/>
    <w:basedOn w:val="Style_3"/>
    <w:link w:val="Style_29_ch"/>
    <w:rPr>
      <w:rFonts w:ascii="Segoe UI" w:hAnsi="Segoe UI"/>
      <w:sz w:val="18"/>
    </w:rPr>
  </w:style>
  <w:style w:styleId="Style_29_ch" w:type="character">
    <w:name w:val="Balloon Text"/>
    <w:basedOn w:val="Style_3_ch"/>
    <w:link w:val="Style_29"/>
    <w:rPr>
      <w:rFonts w:ascii="Segoe UI" w:hAnsi="Segoe UI"/>
      <w:sz w:val="1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Body Text"/>
    <w:basedOn w:val="Style_3"/>
    <w:link w:val="Style_33_ch"/>
    <w:pPr>
      <w:spacing w:after="120"/>
      <w:ind/>
    </w:pPr>
  </w:style>
  <w:style w:styleId="Style_33_ch" w:type="character">
    <w:name w:val="Body Text"/>
    <w:basedOn w:val="Style_3_ch"/>
    <w:link w:val="Style_33"/>
  </w:style>
  <w:style w:styleId="Style_34" w:type="paragraph">
    <w:name w:val="heading 2"/>
    <w:basedOn w:val="Style_3"/>
    <w:next w:val="Style_3"/>
    <w:link w:val="Style_34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34_ch" w:type="character">
    <w:name w:val="heading 2"/>
    <w:basedOn w:val="Style_3_ch"/>
    <w:link w:val="Style_34"/>
    <w:rPr>
      <w:rFonts w:ascii="Cambria" w:hAnsi="Cambria"/>
      <w:b w:val="1"/>
      <w:color w:val="4F81BD"/>
      <w:sz w:val="26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2022-07-29T13:03:51Z</dcterms:modified>
</cp:coreProperties>
</file>