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проведению творческого конкурса, приуроченного </w:t>
      </w:r>
      <w:r>
        <w:rPr>
          <w:b w:val="1"/>
          <w:sz w:val="24"/>
        </w:rPr>
        <w:br/>
      </w:r>
      <w:r>
        <w:rPr>
          <w:b w:val="1"/>
          <w:sz w:val="24"/>
        </w:rPr>
        <w:t>к Дню народного единства</w:t>
      </w:r>
      <w:r>
        <w:rPr>
          <w:b w:val="1"/>
          <w:sz w:val="24"/>
        </w:rPr>
        <w:t xml:space="preserve"> 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(далее – Конкурс)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2015 год</w:t>
      </w:r>
      <w:bookmarkStart w:id="1" w:name="_GoBack"/>
      <w:bookmarkEnd w:id="1"/>
    </w:p>
    <w:p w14:paraId="04000000">
      <w:pPr>
        <w:ind/>
        <w:jc w:val="center"/>
        <w:rPr>
          <w:b w:val="1"/>
          <w:sz w:val="22"/>
        </w:rPr>
      </w:pPr>
    </w:p>
    <w:p w14:paraId="05000000">
      <w:pPr>
        <w:pStyle w:val="Style_1"/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привлечение внимания молодежи к празднованию Дня народного единства.</w:t>
      </w:r>
    </w:p>
    <w:p w14:paraId="06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молодежный актив муниципального района/городского округа (представители коллегиальных органов, общественных объединений, волонтерских отрядов, органов школьного ученического самоуправления). </w:t>
      </w:r>
    </w:p>
    <w:p w14:paraId="07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Возраст</w:t>
      </w:r>
      <w:r>
        <w:rPr>
          <w:rFonts w:ascii="Times New Roman" w:hAnsi="Times New Roman"/>
          <w:b w:val="1"/>
          <w:sz w:val="24"/>
        </w:rPr>
        <w:t xml:space="preserve"> участников</w:t>
      </w:r>
      <w:r>
        <w:rPr>
          <w:rFonts w:ascii="Times New Roman" w:hAnsi="Times New Roman"/>
          <w:b w:val="1"/>
          <w:sz w:val="24"/>
        </w:rPr>
        <w:t>:</w:t>
      </w:r>
      <w:r>
        <w:rPr>
          <w:rFonts w:ascii="Times New Roman" w:hAnsi="Times New Roman"/>
          <w:sz w:val="24"/>
        </w:rPr>
        <w:t xml:space="preserve"> от 14 до 30 лет.</w:t>
      </w:r>
    </w:p>
    <w:p w14:paraId="08000000">
      <w:pPr>
        <w:ind w:firstLine="567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9000000">
      <w:pPr>
        <w:ind w:firstLine="567"/>
        <w:jc w:val="both"/>
        <w:rPr>
          <w:sz w:val="24"/>
        </w:rPr>
      </w:pPr>
      <w:r>
        <w:rPr>
          <w:sz w:val="24"/>
        </w:rPr>
        <w:t xml:space="preserve">Участникам </w:t>
      </w:r>
      <w:r>
        <w:rPr>
          <w:sz w:val="24"/>
        </w:rPr>
        <w:t xml:space="preserve">Конкурса </w:t>
      </w:r>
      <w:r>
        <w:rPr>
          <w:sz w:val="24"/>
        </w:rPr>
        <w:t xml:space="preserve">необходимо создать творческую работу на тему </w:t>
      </w:r>
      <w:r>
        <w:rPr>
          <w:sz w:val="24"/>
        </w:rPr>
        <w:t>«Сила России в единстве народов»</w:t>
      </w:r>
      <w:r>
        <w:rPr>
          <w:sz w:val="24"/>
        </w:rPr>
        <w:t xml:space="preserve"> в одной из двух номинаций:</w:t>
      </w:r>
    </w:p>
    <w:p w14:paraId="0A000000">
      <w:pPr>
        <w:ind w:firstLine="567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«Эссе»;</w:t>
      </w:r>
    </w:p>
    <w:p w14:paraId="0B000000">
      <w:pPr>
        <w:ind w:firstLine="567"/>
        <w:rPr>
          <w:sz w:val="24"/>
        </w:rPr>
      </w:pPr>
      <w:r>
        <w:rPr>
          <w:sz w:val="24"/>
        </w:rPr>
        <w:t>– «Рисунок».</w:t>
      </w:r>
    </w:p>
    <w:p w14:paraId="0C000000">
      <w:pPr>
        <w:ind w:firstLine="567"/>
        <w:rPr>
          <w:sz w:val="24"/>
        </w:rPr>
      </w:pPr>
    </w:p>
    <w:p w14:paraId="0D000000">
      <w:pPr>
        <w:ind w:firstLine="567"/>
        <w:rPr>
          <w:b w:val="1"/>
          <w:sz w:val="24"/>
        </w:rPr>
      </w:pPr>
      <w:r>
        <w:rPr>
          <w:b w:val="1"/>
          <w:sz w:val="24"/>
        </w:rPr>
        <w:t>Номинация «Эссе»</w:t>
      </w:r>
    </w:p>
    <w:p w14:paraId="0E000000">
      <w:pPr>
        <w:ind w:firstLine="567"/>
        <w:jc w:val="both"/>
        <w:rPr>
          <w:sz w:val="24"/>
        </w:rPr>
      </w:pPr>
      <w:r>
        <w:rPr>
          <w:sz w:val="24"/>
        </w:rPr>
        <w:t xml:space="preserve">Рекомендуемый объем: не более 2 страниц формата А4, шрифт – </w:t>
      </w:r>
      <w:r>
        <w:rPr>
          <w:sz w:val="24"/>
        </w:rPr>
        <w:t>Times</w:t>
      </w:r>
      <w:r>
        <w:rPr>
          <w:sz w:val="24"/>
        </w:rPr>
        <w:t xml:space="preserve"> </w:t>
      </w:r>
      <w:r>
        <w:rPr>
          <w:sz w:val="24"/>
        </w:rPr>
        <w:t>New</w:t>
      </w:r>
      <w:r>
        <w:rPr>
          <w:sz w:val="24"/>
        </w:rPr>
        <w:t xml:space="preserve"> </w:t>
      </w:r>
      <w:r>
        <w:rPr>
          <w:sz w:val="24"/>
        </w:rPr>
        <w:t>Roman</w:t>
      </w:r>
      <w:r>
        <w:rPr>
          <w:sz w:val="24"/>
        </w:rPr>
        <w:t>, кегль 12, межстрочный интервал – 1,5 строки.</w:t>
      </w:r>
    </w:p>
    <w:p w14:paraId="0F000000">
      <w:pPr>
        <w:ind w:firstLine="567" w:left="0"/>
        <w:jc w:val="both"/>
        <w:rPr>
          <w:sz w:val="24"/>
        </w:rPr>
      </w:pPr>
      <w:r>
        <w:rPr>
          <w:sz w:val="24"/>
        </w:rPr>
        <w:t>Критерии оценки:</w:t>
      </w:r>
    </w:p>
    <w:p w14:paraId="10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соответствие требованиям к оформлению работы;</w:t>
      </w:r>
    </w:p>
    <w:p w14:paraId="11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соответствие теме;</w:t>
      </w:r>
    </w:p>
    <w:p w14:paraId="12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соответствие жанру «</w:t>
      </w:r>
      <w:r>
        <w:rPr>
          <w:sz w:val="24"/>
        </w:rPr>
        <w:t>эссе»*</w:t>
      </w:r>
      <w:r>
        <w:rPr>
          <w:sz w:val="24"/>
        </w:rPr>
        <w:t>;</w:t>
      </w:r>
    </w:p>
    <w:p w14:paraId="13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четкость структуры изложения;</w:t>
      </w:r>
    </w:p>
    <w:p w14:paraId="14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полнота раскрытия темы;</w:t>
      </w:r>
    </w:p>
    <w:p w14:paraId="15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логичность и аргументированность позиции автора;</w:t>
      </w:r>
    </w:p>
    <w:p w14:paraId="16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грамотность изложения материала;</w:t>
      </w:r>
    </w:p>
    <w:p w14:paraId="17000000">
      <w:pPr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уровень владения навыками письменной речи.</w:t>
      </w:r>
    </w:p>
    <w:p w14:paraId="18000000">
      <w:pPr>
        <w:ind w:firstLine="567"/>
        <w:jc w:val="both"/>
        <w:rPr>
          <w:sz w:val="24"/>
        </w:rPr>
      </w:pPr>
    </w:p>
    <w:p w14:paraId="19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*Эссе – литературный жанр, прозаическое сочинение небольшого объема </w:t>
      </w:r>
      <w:r>
        <w:rPr>
          <w:sz w:val="24"/>
        </w:rPr>
        <w:br/>
      </w:r>
      <w:r>
        <w:rPr>
          <w:sz w:val="24"/>
        </w:rPr>
        <w:t xml:space="preserve">и свободной композиции, трактующее литературные, философские, социальные </w:t>
      </w:r>
      <w:r>
        <w:rPr>
          <w:sz w:val="24"/>
        </w:rPr>
        <w:br/>
      </w:r>
      <w:r>
        <w:rPr>
          <w:sz w:val="24"/>
        </w:rPr>
        <w:t xml:space="preserve">и другие проблемы в свободной форме. Эссе подается как авторский продукт, </w:t>
      </w:r>
      <w:r>
        <w:rPr>
          <w:sz w:val="24"/>
        </w:rPr>
        <w:br/>
      </w:r>
      <w:r>
        <w:rPr>
          <w:sz w:val="24"/>
        </w:rPr>
        <w:t>не содержащий в себе ни полностью, ни частично элементов плагиата. Использование цитат чужого произведения должно иметь сноску с указанием автора и названием произведения.</w:t>
      </w:r>
    </w:p>
    <w:p w14:paraId="1A000000">
      <w:pPr>
        <w:ind w:firstLine="567" w:left="0"/>
        <w:jc w:val="both"/>
        <w:rPr>
          <w:b w:val="1"/>
          <w:sz w:val="24"/>
        </w:rPr>
      </w:pPr>
    </w:p>
    <w:p w14:paraId="1B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Номинация «Рисунок»</w:t>
      </w:r>
    </w:p>
    <w:p w14:paraId="1C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 xml:space="preserve">Требования: </w:t>
      </w:r>
    </w:p>
    <w:p w14:paraId="1D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на обратной стороне каждой работы, направляемой для участия в </w:t>
      </w:r>
      <w:r>
        <w:rPr>
          <w:sz w:val="24"/>
        </w:rPr>
        <w:t>К</w:t>
      </w:r>
      <w:r>
        <w:rPr>
          <w:sz w:val="24"/>
        </w:rPr>
        <w:t>онкурсе, необходимо указать название работы, фамилию и имя автора;</w:t>
      </w:r>
    </w:p>
    <w:p w14:paraId="1E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работы должны быть выполнены на листах, размером не превышающих формат А3;</w:t>
      </w:r>
    </w:p>
    <w:p w14:paraId="1F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на </w:t>
      </w:r>
      <w:r>
        <w:rPr>
          <w:sz w:val="24"/>
        </w:rPr>
        <w:t>к</w:t>
      </w:r>
      <w:r>
        <w:rPr>
          <w:sz w:val="24"/>
        </w:rPr>
        <w:t>онкурс принимаются оригиналы работ, выполненные в разных техниках рисования;</w:t>
      </w:r>
    </w:p>
    <w:p w14:paraId="20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конкурсные работы, выполненные с использованием компьютерной графики, должны быть направлены на электронный адрес координатора Конкурса в любом из следующих форматов: .</w:t>
      </w:r>
      <w:r>
        <w:rPr>
          <w:sz w:val="24"/>
        </w:rPr>
        <w:t>jpeg</w:t>
      </w:r>
      <w:r>
        <w:rPr>
          <w:sz w:val="24"/>
        </w:rPr>
        <w:t>, .</w:t>
      </w:r>
      <w:r>
        <w:rPr>
          <w:sz w:val="24"/>
        </w:rPr>
        <w:t>png</w:t>
      </w:r>
      <w:r>
        <w:rPr>
          <w:sz w:val="24"/>
        </w:rPr>
        <w:t xml:space="preserve">, </w:t>
      </w:r>
      <w:r>
        <w:rPr>
          <w:sz w:val="24"/>
        </w:rPr>
        <w:t>.</w:t>
      </w:r>
      <w:r>
        <w:rPr>
          <w:sz w:val="24"/>
        </w:rPr>
        <w:t>jpg</w:t>
      </w:r>
      <w:r>
        <w:rPr>
          <w:sz w:val="24"/>
        </w:rPr>
        <w:t>.</w:t>
      </w:r>
    </w:p>
    <w:p w14:paraId="21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Критерии оценки:</w:t>
      </w:r>
    </w:p>
    <w:p w14:paraId="22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соответствие требованиям к оформлению работы;</w:t>
      </w:r>
    </w:p>
    <w:p w14:paraId="23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соответствие теме Конкурса и названию работы;</w:t>
      </w:r>
    </w:p>
    <w:p w14:paraId="24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оригинальность идеи, новизна;</w:t>
      </w:r>
    </w:p>
    <w:p w14:paraId="25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оригинальность выбранной техники исполнения;</w:t>
      </w:r>
    </w:p>
    <w:p w14:paraId="26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композиционное решение;</w:t>
      </w:r>
    </w:p>
    <w:p w14:paraId="27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сложность работы;</w:t>
      </w:r>
    </w:p>
    <w:p w14:paraId="28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качество работы;</w:t>
      </w:r>
    </w:p>
    <w:p w14:paraId="29000000">
      <w:pPr>
        <w:widowControl w:val="0"/>
        <w:ind w:firstLine="567" w:left="0"/>
        <w:jc w:val="both"/>
        <w:rPr>
          <w:sz w:val="24"/>
        </w:rPr>
      </w:pPr>
      <w:r>
        <w:rPr>
          <w:sz w:val="24"/>
        </w:rPr>
        <w:t>–</w:t>
      </w:r>
      <w:r>
        <w:rPr>
          <w:sz w:val="24"/>
        </w:rPr>
        <w:t xml:space="preserve"> эстетичность, аккуратность выполнения.</w:t>
      </w:r>
    </w:p>
    <w:p w14:paraId="2A000000">
      <w:pPr>
        <w:ind w:firstLine="567" w:left="0"/>
        <w:jc w:val="both"/>
        <w:rPr>
          <w:sz w:val="24"/>
        </w:rPr>
      </w:pPr>
    </w:p>
    <w:p w14:paraId="2B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>Подведение итогов</w:t>
      </w:r>
    </w:p>
    <w:p w14:paraId="2C000000">
      <w:pPr>
        <w:ind w:firstLine="567"/>
        <w:jc w:val="both"/>
        <w:rPr>
          <w:b w:val="1"/>
          <w:sz w:val="28"/>
        </w:rPr>
      </w:pPr>
      <w:r>
        <w:rPr>
          <w:sz w:val="24"/>
        </w:rPr>
        <w:tab/>
      </w:r>
      <w:r>
        <w:rPr>
          <w:sz w:val="24"/>
        </w:rPr>
        <w:t>Для оценки</w:t>
      </w:r>
      <w:r>
        <w:rPr>
          <w:sz w:val="24"/>
        </w:rPr>
        <w:t xml:space="preserve"> конкурсных работ организаторам в муниципальных районах/городских округах</w:t>
      </w:r>
      <w:r>
        <w:rPr>
          <w:sz w:val="24"/>
        </w:rPr>
        <w:t xml:space="preserve"> </w:t>
      </w:r>
      <w:r>
        <w:rPr>
          <w:sz w:val="24"/>
        </w:rPr>
        <w:t>необходимо сформировать</w:t>
      </w:r>
      <w:r>
        <w:rPr>
          <w:sz w:val="24"/>
        </w:rPr>
        <w:t xml:space="preserve"> жюри из числа специалистов </w:t>
      </w:r>
      <w:r>
        <w:rPr>
          <w:sz w:val="24"/>
        </w:rPr>
        <w:t>по изобразительному</w:t>
      </w:r>
      <w:r>
        <w:rPr>
          <w:sz w:val="24"/>
        </w:rPr>
        <w:t xml:space="preserve"> творчеств</w:t>
      </w:r>
      <w:r>
        <w:rPr>
          <w:sz w:val="24"/>
        </w:rPr>
        <w:t>у</w:t>
      </w:r>
      <w:r>
        <w:rPr>
          <w:sz w:val="24"/>
        </w:rPr>
        <w:t xml:space="preserve">, </w:t>
      </w:r>
      <w:r>
        <w:rPr>
          <w:sz w:val="24"/>
        </w:rPr>
        <w:t>филологов и известных общественных деятелей муниципального района/городского округа.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1" w:type="paragraph">
    <w:name w:val="List Paragraph"/>
    <w:basedOn w:val="Style_2"/>
    <w:link w:val="Style_1_ch"/>
    <w:pPr>
      <w:spacing w:after="160" w:line="252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_ch" w:type="character">
    <w:name w:val="List Paragraph"/>
    <w:basedOn w:val="Style_2_ch"/>
    <w:link w:val="Style_1"/>
    <w:rPr>
      <w:rFonts w:asciiTheme="minorAscii" w:hAnsiTheme="minorHAns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7_ch" w:type="character">
    <w:name w:val="heading 3"/>
    <w:basedOn w:val="Style_2_ch"/>
    <w:link w:val="Style_7"/>
    <w:rPr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Базовый"/>
    <w:link w:val="Style_9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9_ch" w:type="character">
    <w:name w:val="Базовый"/>
    <w:link w:val="Style_9"/>
    <w:rPr>
      <w:rFonts w:ascii="Times New Roman" w:hAnsi="Times New Roman"/>
      <w:sz w:val="20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2_ch" w:type="character">
    <w:name w:val="heading 1"/>
    <w:basedOn w:val="Style_2_ch"/>
    <w:link w:val="Style_12"/>
    <w:rPr>
      <w:b w:val="1"/>
      <w:spacing w:val="24"/>
      <w:sz w:val="28"/>
    </w:rPr>
  </w:style>
  <w:style w:styleId="Style_13" w:type="paragraph">
    <w:name w:val="Hyperlink"/>
    <w:link w:val="Style_13_ch"/>
    <w:rPr>
      <w:color w:val="0563C1"/>
      <w:u w:val="single"/>
    </w:rPr>
  </w:style>
  <w:style w:styleId="Style_13_ch" w:type="character">
    <w:name w:val="Hyperlink"/>
    <w:link w:val="Style_13"/>
    <w:rPr>
      <w:color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Body Text Indent"/>
    <w:basedOn w:val="Style_2"/>
    <w:link w:val="Style_19_ch"/>
    <w:pPr>
      <w:spacing w:after="120"/>
      <w:ind w:firstLine="0" w:left="283"/>
    </w:pPr>
  </w:style>
  <w:style w:styleId="Style_19_ch" w:type="character">
    <w:name w:val="Body Text Indent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basedOn w:val="Style_2"/>
    <w:next w:val="Style_2"/>
    <w:link w:val="Style_24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4_ch" w:type="character">
    <w:name w:val="heading 2"/>
    <w:basedOn w:val="Style_2_ch"/>
    <w:link w:val="Style_24"/>
    <w:rPr>
      <w:b w:val="1"/>
      <w:sz w:val="23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2022-07-28T13:43:57Z</dcterms:modified>
</cp:coreProperties>
</file>