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рекомендации для областной акции «Мы семья»</w:t>
      </w:r>
      <w:r>
        <w:rPr>
          <w:rFonts w:ascii="Times New Roman" w:hAnsi="Times New Roman"/>
          <w:b w:val="1"/>
          <w:sz w:val="24"/>
        </w:rPr>
        <w:t>, посвященной</w:t>
      </w:r>
      <w:r>
        <w:rPr>
          <w:rFonts w:ascii="Times New Roman" w:hAnsi="Times New Roman"/>
          <w:b w:val="1"/>
          <w:sz w:val="24"/>
        </w:rPr>
        <w:t xml:space="preserve"> Дню семьи, любви и верности</w:t>
      </w:r>
    </w:p>
    <w:p w14:paraId="02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0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Всероссийский праздник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День семьи, любви и верности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отмечается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8 июля и приурочен к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 xml:space="preserve">ню памяти святых князя Петра и его жены </w:t>
      </w:r>
      <w:r>
        <w:rPr>
          <w:rFonts w:ascii="Times New Roman" w:hAnsi="Times New Roman"/>
          <w:sz w:val="24"/>
        </w:rPr>
        <w:t>Февронии</w:t>
      </w:r>
      <w:r>
        <w:rPr>
          <w:rFonts w:ascii="Times New Roman" w:hAnsi="Times New Roman"/>
          <w:sz w:val="24"/>
        </w:rPr>
        <w:t xml:space="preserve"> Муромских, которые в православной традиции издревле считались покровителями семьи и брака</w:t>
      </w:r>
      <w:r>
        <w:rPr>
          <w:rFonts w:ascii="Times New Roman" w:hAnsi="Times New Roman"/>
          <w:sz w:val="24"/>
        </w:rPr>
        <w:t xml:space="preserve"> (Приложение 1</w:t>
      </w:r>
      <w:r>
        <w:rPr>
          <w:rFonts w:ascii="Times New Roman" w:hAnsi="Times New Roman"/>
          <w:sz w:val="24"/>
        </w:rPr>
        <w:t xml:space="preserve"> к Методическим рекомендациям</w:t>
      </w:r>
      <w:r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>.</w:t>
      </w:r>
    </w:p>
    <w:p w14:paraId="0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муниципальных районах/городских округах Вологодской области в рамках торжественных мероприятий, посвященных Дню семьи, любви и верности, рекомендуется провести об</w:t>
      </w:r>
      <w:r>
        <w:rPr>
          <w:rFonts w:ascii="Times New Roman" w:hAnsi="Times New Roman"/>
          <w:sz w:val="24"/>
        </w:rPr>
        <w:t>ластную акцию «Мы семья» (далее – Акция).</w:t>
      </w:r>
    </w:p>
    <w:p w14:paraId="05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Цель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привлечение внимания общества к вопросам поддержки и развития семейных ценностей.</w:t>
      </w: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Участники: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семьи</w:t>
      </w:r>
      <w:r>
        <w:rPr>
          <w:rFonts w:ascii="Times New Roman" w:hAnsi="Times New Roman"/>
          <w:sz w:val="24"/>
        </w:rPr>
        <w:t xml:space="preserve"> Волог</w:t>
      </w:r>
      <w:r>
        <w:rPr>
          <w:rFonts w:ascii="Times New Roman" w:hAnsi="Times New Roman"/>
          <w:sz w:val="24"/>
        </w:rPr>
        <w:t>одской области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члены</w:t>
      </w:r>
      <w:r>
        <w:rPr>
          <w:rFonts w:ascii="Times New Roman" w:hAnsi="Times New Roman"/>
          <w:sz w:val="24"/>
        </w:rPr>
        <w:t xml:space="preserve"> клубов молодых семей, воспитанники детских садов и т. д.).</w:t>
      </w:r>
      <w:r>
        <w:rPr>
          <w:rFonts w:ascii="Times New Roman" w:hAnsi="Times New Roman"/>
          <w:sz w:val="24"/>
        </w:rPr>
        <w:t xml:space="preserve">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Место проведения: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клубы молодых семей, библиотеки, детские сады, </w:t>
      </w:r>
      <w:r>
        <w:rPr>
          <w:rFonts w:ascii="Times New Roman" w:hAnsi="Times New Roman"/>
          <w:sz w:val="24"/>
        </w:rPr>
        <w:t>музеи, общественные организации.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Реквизит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ля участия в А</w:t>
      </w:r>
      <w:r>
        <w:rPr>
          <w:rFonts w:ascii="Times New Roman" w:hAnsi="Times New Roman"/>
          <w:sz w:val="24"/>
        </w:rPr>
        <w:t>кции муниципальным районам/городским округам Вологодской области необходимо</w:t>
      </w:r>
      <w:r>
        <w:rPr>
          <w:rFonts w:ascii="Times New Roman" w:hAnsi="Times New Roman"/>
          <w:sz w:val="24"/>
        </w:rPr>
        <w:t xml:space="preserve"> с 1 по 5 июл</w:t>
      </w:r>
      <w:r>
        <w:rPr>
          <w:rFonts w:ascii="Times New Roman" w:hAnsi="Times New Roman"/>
          <w:sz w:val="24"/>
        </w:rPr>
        <w:t xml:space="preserve">я 2019 года получить в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 xml:space="preserve">АУ ВО </w:t>
      </w:r>
      <w:r>
        <w:rPr>
          <w:rFonts w:ascii="Times New Roman" w:hAnsi="Times New Roman"/>
          <w:sz w:val="24"/>
        </w:rPr>
        <w:t>ОЦМиГИ</w:t>
      </w:r>
      <w:r>
        <w:rPr>
          <w:rFonts w:ascii="Times New Roman" w:hAnsi="Times New Roman"/>
          <w:sz w:val="24"/>
        </w:rPr>
        <w:t xml:space="preserve"> «Содружество» раздаточный материал –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шаблоны формата А3 для составления генеалогического древа.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ля оформления генеалогического древа: фотографии членов семь</w:t>
      </w:r>
      <w:r>
        <w:rPr>
          <w:rFonts w:ascii="Times New Roman" w:hAnsi="Times New Roman"/>
          <w:sz w:val="24"/>
        </w:rPr>
        <w:t>и; канцелярские принадлежности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 xml:space="preserve">ножницы, клей, </w:t>
      </w:r>
      <w:r>
        <w:rPr>
          <w:rFonts w:ascii="Times New Roman" w:hAnsi="Times New Roman"/>
          <w:sz w:val="24"/>
        </w:rPr>
        <w:t>карандаши, руч</w:t>
      </w:r>
      <w:r>
        <w:rPr>
          <w:rFonts w:ascii="Times New Roman" w:hAnsi="Times New Roman"/>
          <w:sz w:val="24"/>
        </w:rPr>
        <w:t>ки, фломастеры, краски, пастель и 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</w:t>
      </w:r>
      <w:r>
        <w:rPr>
          <w:rFonts w:ascii="Times New Roman" w:hAnsi="Times New Roman"/>
          <w:sz w:val="24"/>
        </w:rPr>
        <w:t>).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Содержание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Акция ориентирована на совме</w:t>
      </w:r>
      <w:r>
        <w:rPr>
          <w:rFonts w:ascii="Times New Roman" w:hAnsi="Times New Roman"/>
          <w:sz w:val="24"/>
        </w:rPr>
        <w:t xml:space="preserve">стную работу детей и родителей. В детских садах и общественных </w:t>
      </w:r>
      <w:r>
        <w:rPr>
          <w:rFonts w:ascii="Times New Roman" w:hAnsi="Times New Roman"/>
          <w:sz w:val="24"/>
        </w:rPr>
        <w:t>объединениях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она </w:t>
      </w:r>
      <w:r>
        <w:rPr>
          <w:rFonts w:ascii="Times New Roman" w:hAnsi="Times New Roman"/>
          <w:sz w:val="24"/>
        </w:rPr>
        <w:t xml:space="preserve">может проводиться под руководством педагога. 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Участникам А</w:t>
      </w:r>
      <w:r>
        <w:rPr>
          <w:rFonts w:ascii="Times New Roman" w:hAnsi="Times New Roman"/>
          <w:sz w:val="24"/>
        </w:rPr>
        <w:t>кции рекомендуется провести мини-исследование для со</w:t>
      </w:r>
      <w:r>
        <w:rPr>
          <w:rFonts w:ascii="Times New Roman" w:hAnsi="Times New Roman"/>
          <w:sz w:val="24"/>
        </w:rPr>
        <w:t>ставления родословной</w:t>
      </w:r>
      <w:r>
        <w:rPr>
          <w:rFonts w:ascii="Times New Roman" w:hAnsi="Times New Roman"/>
          <w:sz w:val="24"/>
        </w:rPr>
        <w:t xml:space="preserve"> своей семьи. Используя </w:t>
      </w:r>
      <w:r>
        <w:rPr>
          <w:rFonts w:ascii="Times New Roman" w:hAnsi="Times New Roman"/>
          <w:sz w:val="24"/>
        </w:rPr>
        <w:t>методические рекомендации по составлению генеалогического</w:t>
      </w:r>
      <w:r>
        <w:rPr>
          <w:rFonts w:ascii="Times New Roman" w:hAnsi="Times New Roman"/>
          <w:sz w:val="24"/>
        </w:rPr>
        <w:t xml:space="preserve"> древа (Приложение 2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 Методическим рекомендациям</w:t>
      </w:r>
      <w:r>
        <w:rPr>
          <w:rFonts w:ascii="Times New Roman" w:hAnsi="Times New Roman"/>
          <w:sz w:val="24"/>
        </w:rPr>
        <w:t>), не</w:t>
      </w:r>
      <w:r>
        <w:rPr>
          <w:rFonts w:ascii="Times New Roman" w:hAnsi="Times New Roman"/>
          <w:sz w:val="24"/>
        </w:rPr>
        <w:t>обходимо найти и собрать данные:</w:t>
      </w:r>
      <w:r>
        <w:rPr>
          <w:rFonts w:ascii="Times New Roman" w:hAnsi="Times New Roman"/>
          <w:sz w:val="24"/>
        </w:rPr>
        <w:t xml:space="preserve"> полное имя, годы</w:t>
      </w:r>
      <w:r>
        <w:rPr>
          <w:rFonts w:ascii="Times New Roman" w:hAnsi="Times New Roman"/>
          <w:sz w:val="24"/>
        </w:rPr>
        <w:t xml:space="preserve"> жизни своих родственников –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заполнить шаблон для генеалогическо</w:t>
      </w:r>
      <w:r>
        <w:rPr>
          <w:rFonts w:ascii="Times New Roman" w:hAnsi="Times New Roman"/>
          <w:sz w:val="24"/>
        </w:rPr>
        <w:t xml:space="preserve">го древа полученной информацией. 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 могут не ограничивать себя в оформлении генеалогического древа: можно указать дополнительную информацию о родственниках – место рождения, род деят</w:t>
      </w:r>
      <w:r>
        <w:rPr>
          <w:rFonts w:ascii="Times New Roman" w:hAnsi="Times New Roman"/>
          <w:sz w:val="24"/>
        </w:rPr>
        <w:t>ельности и др., а также дополнить рисунками, например, нарисовать портреты членов семьи</w:t>
      </w:r>
      <w:r>
        <w:rPr>
          <w:rFonts w:ascii="Times New Roman" w:hAnsi="Times New Roman"/>
          <w:sz w:val="24"/>
        </w:rPr>
        <w:t>.</w:t>
      </w:r>
    </w:p>
    <w:p w14:paraId="0F000000">
      <w:pPr>
        <w:spacing w:after="0" w:line="240" w:lineRule="auto"/>
        <w:ind w:firstLine="567" w:left="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Совместно составленное детьми и родителями генеалогическое древо может стать поводом собрать всю семью за праздничным столом в День семьи, </w:t>
      </w:r>
      <w:r>
        <w:rPr>
          <w:rFonts w:ascii="Times New Roman" w:hAnsi="Times New Roman"/>
          <w:sz w:val="24"/>
        </w:rPr>
        <w:t xml:space="preserve">любви и верности. Участникам </w:t>
      </w:r>
      <w:r>
        <w:rPr>
          <w:rFonts w:ascii="Times New Roman" w:hAnsi="Times New Roman"/>
          <w:sz w:val="24"/>
        </w:rPr>
        <w:t xml:space="preserve">Акции </w:t>
      </w:r>
      <w:r>
        <w:rPr>
          <w:rFonts w:ascii="Times New Roman" w:hAnsi="Times New Roman"/>
          <w:sz w:val="24"/>
        </w:rPr>
        <w:t>необходимо сделать</w:t>
      </w:r>
      <w:r>
        <w:rPr>
          <w:rFonts w:ascii="Times New Roman" w:hAnsi="Times New Roman"/>
          <w:sz w:val="24"/>
        </w:rPr>
        <w:t xml:space="preserve"> общее фото своей семьи с гене</w:t>
      </w:r>
      <w:r>
        <w:rPr>
          <w:rFonts w:ascii="Times New Roman" w:hAnsi="Times New Roman"/>
          <w:sz w:val="24"/>
        </w:rPr>
        <w:t>алогическим древом и опубликовать фото</w:t>
      </w:r>
      <w:r>
        <w:rPr>
          <w:rFonts w:ascii="Times New Roman" w:hAnsi="Times New Roman"/>
          <w:sz w:val="24"/>
        </w:rPr>
        <w:t xml:space="preserve"> в </w:t>
      </w:r>
      <w:r>
        <w:rPr>
          <w:rFonts w:ascii="Times New Roman" w:hAnsi="Times New Roman"/>
          <w:sz w:val="24"/>
        </w:rPr>
        <w:t xml:space="preserve">информационно-телекоммуникационной сети Интернет с </w:t>
      </w:r>
      <w:r>
        <w:rPr>
          <w:rFonts w:ascii="Times New Roman" w:hAnsi="Times New Roman"/>
          <w:sz w:val="24"/>
        </w:rPr>
        <w:t>хештегом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#</w:t>
      </w:r>
      <w:r>
        <w:rPr>
          <w:rFonts w:ascii="Times New Roman" w:hAnsi="Times New Roman"/>
          <w:sz w:val="24"/>
        </w:rPr>
        <w:t>мысемья35.</w:t>
      </w:r>
      <w:r>
        <w:br w:type="page"/>
      </w:r>
      <w:r>
        <w:rPr>
          <w:rFonts w:ascii="Times New Roman" w:hAnsi="Times New Roman"/>
          <w:sz w:val="24"/>
        </w:rPr>
        <w:t>Приложение 1</w:t>
      </w:r>
    </w:p>
    <w:p w14:paraId="10000000">
      <w:pPr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Методическим рекомендациям</w:t>
      </w:r>
    </w:p>
    <w:p w14:paraId="11000000">
      <w:pPr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12000000">
      <w:pPr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Информ</w:t>
      </w:r>
      <w:r>
        <w:rPr>
          <w:rFonts w:ascii="Times New Roman" w:hAnsi="Times New Roman"/>
          <w:b w:val="1"/>
          <w:sz w:val="24"/>
        </w:rPr>
        <w:t xml:space="preserve">ационная </w:t>
      </w:r>
      <w:r>
        <w:rPr>
          <w:rFonts w:ascii="Times New Roman" w:hAnsi="Times New Roman"/>
          <w:b w:val="1"/>
          <w:sz w:val="24"/>
        </w:rPr>
        <w:t>справка</w:t>
      </w:r>
      <w:r>
        <w:rPr>
          <w:rFonts w:ascii="Times New Roman" w:hAnsi="Times New Roman"/>
          <w:b w:val="1"/>
          <w:sz w:val="24"/>
        </w:rPr>
        <w:t xml:space="preserve"> о </w:t>
      </w:r>
      <w:r>
        <w:rPr>
          <w:rFonts w:ascii="Times New Roman" w:hAnsi="Times New Roman"/>
          <w:b w:val="1"/>
          <w:sz w:val="24"/>
        </w:rPr>
        <w:t>Дне семьи, любви и верности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Впервые </w:t>
      </w:r>
      <w:r>
        <w:rPr>
          <w:rFonts w:ascii="Times New Roman" w:hAnsi="Times New Roman"/>
          <w:sz w:val="24"/>
        </w:rPr>
        <w:t xml:space="preserve">День семьи, любви и верности как </w:t>
      </w:r>
      <w:r>
        <w:rPr>
          <w:rFonts w:ascii="Times New Roman" w:hAnsi="Times New Roman"/>
          <w:sz w:val="24"/>
        </w:rPr>
        <w:t xml:space="preserve">праздник прошел 8 июля 2008 года. </w:t>
      </w:r>
      <w:r>
        <w:rPr>
          <w:rFonts w:ascii="Times New Roman" w:hAnsi="Times New Roman"/>
          <w:sz w:val="24"/>
        </w:rPr>
        <w:t>Главные торжеств</w:t>
      </w:r>
      <w:r>
        <w:rPr>
          <w:rFonts w:ascii="Times New Roman" w:hAnsi="Times New Roman"/>
          <w:sz w:val="24"/>
        </w:rPr>
        <w:t>а традиционно про</w:t>
      </w:r>
      <w:r>
        <w:rPr>
          <w:rFonts w:ascii="Times New Roman" w:hAnsi="Times New Roman"/>
          <w:sz w:val="24"/>
        </w:rPr>
        <w:t>водятся</w:t>
      </w:r>
      <w:r>
        <w:rPr>
          <w:rFonts w:ascii="Times New Roman" w:hAnsi="Times New Roman"/>
          <w:sz w:val="24"/>
        </w:rPr>
        <w:t xml:space="preserve"> в Муроме, городе святых Петра и </w:t>
      </w:r>
      <w:r>
        <w:rPr>
          <w:rFonts w:ascii="Times New Roman" w:hAnsi="Times New Roman"/>
          <w:sz w:val="24"/>
        </w:rPr>
        <w:t>Февронии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Символом Дня семьи, любви и верности стала ромашка. В день празднования плетут венки из ромашек, дарят букеты ромашек и «</w:t>
      </w:r>
      <w:r>
        <w:rPr>
          <w:rFonts w:ascii="Times New Roman" w:hAnsi="Times New Roman"/>
          <w:sz w:val="24"/>
        </w:rPr>
        <w:t>февроньки</w:t>
      </w:r>
      <w:r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открытки с изображением ромашек или других символов семьи. Популярной традицией </w:t>
      </w:r>
      <w:r>
        <w:rPr>
          <w:rFonts w:ascii="Times New Roman" w:hAnsi="Times New Roman"/>
          <w:sz w:val="24"/>
        </w:rPr>
        <w:t xml:space="preserve">стало заключение браков 8 июля. </w:t>
      </w:r>
      <w:r>
        <w:rPr>
          <w:rFonts w:ascii="Times New Roman" w:hAnsi="Times New Roman"/>
          <w:sz w:val="24"/>
        </w:rPr>
        <w:t>Наибольшей популярностью пользуются залы регистрации гражданских состояний Мурома, где стараются зарегистрировать брак жители других городов и стран</w:t>
      </w:r>
      <w:r>
        <w:rPr>
          <w:rFonts w:ascii="Times New Roman" w:hAnsi="Times New Roman"/>
          <w:sz w:val="24"/>
        </w:rPr>
        <w:t>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Важная часть мероприятий 8 июля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вручение медали «За любовь и верность», учрежд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 xml:space="preserve">нной Организационным комитетом по проведению Дня семьи, любви и верности в Российской Федерации. На реверсе награды изображена ромашка, аверс украшен ликами Петра и </w:t>
      </w:r>
      <w:r>
        <w:rPr>
          <w:rFonts w:ascii="Times New Roman" w:hAnsi="Times New Roman"/>
          <w:sz w:val="24"/>
        </w:rPr>
        <w:t>Февронии</w:t>
      </w:r>
      <w:r>
        <w:rPr>
          <w:rFonts w:ascii="Times New Roman" w:hAnsi="Times New Roman"/>
          <w:sz w:val="24"/>
        </w:rPr>
        <w:t xml:space="preserve"> и девизом «За любовь и верность семье». Награды удостаиваются пары, живущие в браке более 25 лет, «получившие известность среди сограждан крепостью семейных устоев» и «воспитавшие детей достойными членами общества».</w:t>
      </w:r>
    </w:p>
    <w:p w14:paraId="15000000">
      <w:pPr>
        <w:spacing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</w:p>
    <w:p w14:paraId="16000000">
      <w:pPr>
        <w:spacing w:line="24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Легенда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История любви святой супружеско</w:t>
      </w:r>
      <w:r>
        <w:rPr>
          <w:rFonts w:ascii="Times New Roman" w:hAnsi="Times New Roman"/>
          <w:sz w:val="24"/>
        </w:rPr>
        <w:t>й пары описана в древнерусской «</w:t>
      </w:r>
      <w:r>
        <w:rPr>
          <w:rFonts w:ascii="Times New Roman" w:hAnsi="Times New Roman"/>
          <w:sz w:val="24"/>
        </w:rPr>
        <w:t xml:space="preserve">Повести о Петре и </w:t>
      </w:r>
      <w:r>
        <w:rPr>
          <w:rFonts w:ascii="Times New Roman" w:hAnsi="Times New Roman"/>
          <w:sz w:val="24"/>
        </w:rPr>
        <w:t>Февронии</w:t>
      </w:r>
      <w:r>
        <w:rPr>
          <w:rFonts w:ascii="Times New Roman" w:hAnsi="Times New Roman"/>
          <w:sz w:val="24"/>
        </w:rPr>
        <w:t xml:space="preserve"> Муромских»</w:t>
      </w:r>
      <w:r>
        <w:rPr>
          <w:rFonts w:ascii="Times New Roman" w:hAnsi="Times New Roman"/>
          <w:sz w:val="24"/>
        </w:rPr>
        <w:t>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Согласно житию святых</w:t>
      </w:r>
      <w:r>
        <w:rPr>
          <w:rFonts w:ascii="Times New Roman" w:hAnsi="Times New Roman"/>
          <w:sz w:val="24"/>
        </w:rPr>
        <w:t xml:space="preserve"> благоверный князь Петр был вторым сыном </w:t>
      </w:r>
      <w:r>
        <w:rPr>
          <w:rFonts w:ascii="Times New Roman" w:hAnsi="Times New Roman"/>
          <w:sz w:val="24"/>
        </w:rPr>
        <w:t>муромского</w:t>
      </w:r>
      <w:r>
        <w:rPr>
          <w:rFonts w:ascii="Times New Roman" w:hAnsi="Times New Roman"/>
          <w:sz w:val="24"/>
        </w:rPr>
        <w:t xml:space="preserve"> князя Юрия Владимировича. Он вступил на </w:t>
      </w:r>
      <w:r>
        <w:rPr>
          <w:rFonts w:ascii="Times New Roman" w:hAnsi="Times New Roman"/>
          <w:sz w:val="24"/>
        </w:rPr>
        <w:t>муромский</w:t>
      </w:r>
      <w:r>
        <w:rPr>
          <w:rFonts w:ascii="Times New Roman" w:hAnsi="Times New Roman"/>
          <w:sz w:val="24"/>
        </w:rPr>
        <w:t xml:space="preserve"> престол в 1203 году. За несколько лет до княжения Петр заболел проказой, от которой никто не мог его излечить. Во сне князю было открыто, что его может ис</w:t>
      </w:r>
      <w:r>
        <w:rPr>
          <w:rFonts w:ascii="Times New Roman" w:hAnsi="Times New Roman"/>
          <w:sz w:val="24"/>
        </w:rPr>
        <w:t xml:space="preserve">целить дочь пчеловода </w:t>
      </w:r>
      <w:r>
        <w:rPr>
          <w:rFonts w:ascii="Times New Roman" w:hAnsi="Times New Roman"/>
          <w:sz w:val="24"/>
        </w:rPr>
        <w:t>Феврония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Князь полюбил </w:t>
      </w:r>
      <w:r>
        <w:rPr>
          <w:rFonts w:ascii="Times New Roman" w:hAnsi="Times New Roman"/>
          <w:sz w:val="24"/>
        </w:rPr>
        <w:t>Февронию</w:t>
      </w:r>
      <w:r>
        <w:rPr>
          <w:rFonts w:ascii="Times New Roman" w:hAnsi="Times New Roman"/>
          <w:sz w:val="24"/>
        </w:rPr>
        <w:t xml:space="preserve"> за ее благочестие, мудрость и доброту и дал обет жениться на ней после исцеления. Девушка исцелила князя, однако он не сдержал своего слова. Болезнь возобновилась, </w:t>
      </w:r>
      <w:r>
        <w:rPr>
          <w:rFonts w:ascii="Times New Roman" w:hAnsi="Times New Roman"/>
          <w:sz w:val="24"/>
        </w:rPr>
        <w:t>Феврония</w:t>
      </w:r>
      <w:r>
        <w:rPr>
          <w:rFonts w:ascii="Times New Roman" w:hAnsi="Times New Roman"/>
          <w:sz w:val="24"/>
        </w:rPr>
        <w:t xml:space="preserve"> вновь вылечила князя, и он</w:t>
      </w:r>
      <w:r>
        <w:rPr>
          <w:rFonts w:ascii="Times New Roman" w:hAnsi="Times New Roman"/>
          <w:sz w:val="24"/>
        </w:rPr>
        <w:t>и поженились.</w:t>
      </w:r>
      <w:r>
        <w:rPr>
          <w:rFonts w:ascii="Times New Roman" w:hAnsi="Times New Roman"/>
          <w:sz w:val="24"/>
        </w:rPr>
        <w:t xml:space="preserve"> </w:t>
      </w:r>
    </w:p>
    <w:p w14:paraId="19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Когда Петр</w:t>
      </w:r>
      <w:r>
        <w:rPr>
          <w:rFonts w:ascii="Times New Roman" w:hAnsi="Times New Roman"/>
          <w:sz w:val="24"/>
        </w:rPr>
        <w:t xml:space="preserve"> наследовал княжение, бояре не захотели, чтобы </w:t>
      </w:r>
      <w:r>
        <w:rPr>
          <w:rFonts w:ascii="Times New Roman" w:hAnsi="Times New Roman"/>
          <w:sz w:val="24"/>
        </w:rPr>
        <w:t>княгин</w:t>
      </w:r>
      <w:r>
        <w:rPr>
          <w:rFonts w:ascii="Times New Roman" w:hAnsi="Times New Roman"/>
          <w:sz w:val="24"/>
        </w:rPr>
        <w:t>я была</w:t>
      </w:r>
      <w:r>
        <w:rPr>
          <w:rFonts w:ascii="Times New Roman" w:hAnsi="Times New Roman"/>
          <w:sz w:val="24"/>
        </w:rPr>
        <w:t xml:space="preserve"> простого звания и потребовали, чтобы князь оставил ее. Петр, узнав, что его хотят разлу</w:t>
      </w:r>
      <w:r>
        <w:rPr>
          <w:rFonts w:ascii="Times New Roman" w:hAnsi="Times New Roman"/>
          <w:sz w:val="24"/>
        </w:rPr>
        <w:t xml:space="preserve">чить с любимой женой, добровольно отказался от власти. </w:t>
      </w:r>
      <w:r>
        <w:rPr>
          <w:rFonts w:ascii="Times New Roman" w:hAnsi="Times New Roman"/>
          <w:sz w:val="24"/>
        </w:rPr>
        <w:t xml:space="preserve">Петр и </w:t>
      </w:r>
      <w:r>
        <w:rPr>
          <w:rFonts w:ascii="Times New Roman" w:hAnsi="Times New Roman"/>
          <w:sz w:val="24"/>
        </w:rPr>
        <w:t>Феврония</w:t>
      </w:r>
      <w:r>
        <w:rPr>
          <w:rFonts w:ascii="Times New Roman" w:hAnsi="Times New Roman"/>
          <w:sz w:val="24"/>
        </w:rPr>
        <w:t xml:space="preserve"> покинули Муром, отплыв на лодке по реке Оке</w:t>
      </w:r>
      <w:r>
        <w:rPr>
          <w:rFonts w:ascii="Times New Roman" w:hAnsi="Times New Roman"/>
          <w:sz w:val="24"/>
        </w:rPr>
        <w:t xml:space="preserve">. Вскоре в Муроме </w:t>
      </w:r>
      <w:r>
        <w:rPr>
          <w:rFonts w:ascii="Times New Roman" w:hAnsi="Times New Roman"/>
          <w:sz w:val="24"/>
        </w:rPr>
        <w:t>началась смутное время из-за места на княжеском престоле. Б</w:t>
      </w:r>
      <w:r>
        <w:rPr>
          <w:rFonts w:ascii="Times New Roman" w:hAnsi="Times New Roman"/>
          <w:sz w:val="24"/>
        </w:rPr>
        <w:t xml:space="preserve">ояре собрали совет и решили звать князя Петра обратно. Князь и княгиня вернулись, и </w:t>
      </w:r>
      <w:r>
        <w:rPr>
          <w:rFonts w:ascii="Times New Roman" w:hAnsi="Times New Roman"/>
          <w:sz w:val="24"/>
        </w:rPr>
        <w:t>Феврония</w:t>
      </w:r>
      <w:r>
        <w:rPr>
          <w:rFonts w:ascii="Times New Roman" w:hAnsi="Times New Roman"/>
          <w:sz w:val="24"/>
        </w:rPr>
        <w:t xml:space="preserve"> сумела заслужить любовь горожан. Они правили долго и счастливо. </w:t>
      </w:r>
    </w:p>
    <w:p w14:paraId="1A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преклонных летах Петр и </w:t>
      </w:r>
      <w:r>
        <w:rPr>
          <w:rFonts w:ascii="Times New Roman" w:hAnsi="Times New Roman"/>
          <w:sz w:val="24"/>
        </w:rPr>
        <w:t>Феврония</w:t>
      </w:r>
      <w:r>
        <w:rPr>
          <w:rFonts w:ascii="Times New Roman" w:hAnsi="Times New Roman"/>
          <w:sz w:val="24"/>
        </w:rPr>
        <w:t xml:space="preserve"> приняли постриг в разных монастырях с именами Давид и Евфр</w:t>
      </w:r>
      <w:r>
        <w:rPr>
          <w:rFonts w:ascii="Times New Roman" w:hAnsi="Times New Roman"/>
          <w:sz w:val="24"/>
        </w:rPr>
        <w:t xml:space="preserve">осиния и молили Бога, чтобы </w:t>
      </w:r>
      <w:r>
        <w:rPr>
          <w:rFonts w:ascii="Times New Roman" w:hAnsi="Times New Roman"/>
          <w:sz w:val="24"/>
        </w:rPr>
        <w:t xml:space="preserve">умереть в </w:t>
      </w:r>
      <w:r>
        <w:rPr>
          <w:rFonts w:ascii="Times New Roman" w:hAnsi="Times New Roman"/>
          <w:sz w:val="24"/>
        </w:rPr>
        <w:t>один день. П</w:t>
      </w:r>
      <w:r>
        <w:rPr>
          <w:rFonts w:ascii="Times New Roman" w:hAnsi="Times New Roman"/>
          <w:sz w:val="24"/>
        </w:rPr>
        <w:t>охоронить себя завещали вместе в специально приготовленном гробу с т</w:t>
      </w:r>
      <w:r>
        <w:rPr>
          <w:rFonts w:ascii="Times New Roman" w:hAnsi="Times New Roman"/>
          <w:sz w:val="24"/>
        </w:rPr>
        <w:t xml:space="preserve">онкой перегородкой посередине. </w:t>
      </w:r>
      <w:r>
        <w:rPr>
          <w:rFonts w:ascii="Times New Roman" w:hAnsi="Times New Roman"/>
          <w:sz w:val="24"/>
        </w:rPr>
        <w:t xml:space="preserve">Они скончались каждый в своей келье в один день и час – 8 июля (по старому стилю – 25 июня) 1228 года. </w:t>
      </w:r>
    </w:p>
    <w:p w14:paraId="1B000000">
      <w:pPr>
        <w:spacing w:after="0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Сочтя погребение в одном гробу несовместимым с монашеским званием, их тела положили в разных обителях, но на следующий де</w:t>
      </w:r>
      <w:r>
        <w:rPr>
          <w:rFonts w:ascii="Times New Roman" w:hAnsi="Times New Roman"/>
          <w:sz w:val="24"/>
        </w:rPr>
        <w:t>нь они оказались вместе. П</w:t>
      </w:r>
      <w:r>
        <w:rPr>
          <w:rFonts w:ascii="Times New Roman" w:hAnsi="Times New Roman"/>
          <w:sz w:val="24"/>
        </w:rPr>
        <w:t xml:space="preserve">охоронили святых супругов вместе в городе Муроме в соборной церкви </w:t>
      </w:r>
      <w:r>
        <w:rPr>
          <w:rFonts w:ascii="Times New Roman" w:hAnsi="Times New Roman"/>
          <w:sz w:val="24"/>
        </w:rPr>
        <w:t xml:space="preserve">Рождества Пресвятой Богородицы. </w:t>
      </w:r>
      <w:r>
        <w:rPr>
          <w:rFonts w:ascii="Times New Roman" w:hAnsi="Times New Roman"/>
          <w:sz w:val="24"/>
        </w:rPr>
        <w:t xml:space="preserve">Примерно через 300 лет после кончины Петр и </w:t>
      </w:r>
      <w:r>
        <w:rPr>
          <w:rFonts w:ascii="Times New Roman" w:hAnsi="Times New Roman"/>
          <w:sz w:val="24"/>
        </w:rPr>
        <w:t>Феврония</w:t>
      </w:r>
      <w:r>
        <w:rPr>
          <w:rFonts w:ascii="Times New Roman" w:hAnsi="Times New Roman"/>
          <w:sz w:val="24"/>
        </w:rPr>
        <w:t xml:space="preserve"> были причислены Русской православной церковью к лику святых. Ныне мощи святых Петра и </w:t>
      </w:r>
      <w:r>
        <w:rPr>
          <w:rFonts w:ascii="Times New Roman" w:hAnsi="Times New Roman"/>
          <w:sz w:val="24"/>
        </w:rPr>
        <w:t>Февронии</w:t>
      </w:r>
      <w:r>
        <w:rPr>
          <w:rFonts w:ascii="Times New Roman" w:hAnsi="Times New Roman"/>
          <w:sz w:val="24"/>
        </w:rPr>
        <w:t xml:space="preserve"> покоятся в Свято-Трои</w:t>
      </w:r>
      <w:r>
        <w:rPr>
          <w:rFonts w:ascii="Times New Roman" w:hAnsi="Times New Roman"/>
          <w:sz w:val="24"/>
        </w:rPr>
        <w:t>цком женском монастыре в Муро</w:t>
      </w:r>
      <w:r>
        <w:rPr>
          <w:rFonts w:ascii="Times New Roman" w:hAnsi="Times New Roman"/>
          <w:sz w:val="24"/>
        </w:rPr>
        <w:t>ме.</w:t>
      </w:r>
    </w:p>
    <w:p w14:paraId="1C000000">
      <w:pPr>
        <w:sectPr>
          <w:pgSz w:h="16848" w:orient="portrait" w:w="11908"/>
          <w:pgMar w:bottom="1134" w:footer="708" w:gutter="0" w:header="708" w:left="1134" w:right="567" w:top="1134"/>
        </w:sectPr>
      </w:pPr>
    </w:p>
    <w:p w14:paraId="1D000000">
      <w:pPr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>
        <w:rPr>
          <w:rFonts w:ascii="Times New Roman" w:hAnsi="Times New Roman"/>
          <w:sz w:val="24"/>
        </w:rPr>
        <w:t>2</w:t>
      </w:r>
    </w:p>
    <w:p w14:paraId="1E000000">
      <w:pPr>
        <w:spacing w:after="0" w:line="240" w:lineRule="auto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 Методическим рекомендациям</w:t>
      </w:r>
    </w:p>
    <w:p w14:paraId="1F000000">
      <w:pPr>
        <w:ind w:firstLine="567"/>
        <w:jc w:val="center"/>
        <w:rPr>
          <w:rFonts w:ascii="Times New Roman" w:hAnsi="Times New Roman"/>
          <w:b w:val="1"/>
          <w:sz w:val="24"/>
        </w:rPr>
      </w:pPr>
    </w:p>
    <w:p w14:paraId="20000000">
      <w:pPr>
        <w:ind w:firstLine="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Методические рекомендации по составлению генеалогического древа</w:t>
      </w:r>
      <w:r>
        <w:rPr>
          <w:rFonts w:ascii="Times New Roman" w:hAnsi="Times New Roman"/>
          <w:b w:val="1"/>
          <w:sz w:val="24"/>
        </w:rPr>
        <w:t xml:space="preserve"> (</w:t>
      </w:r>
      <w:r>
        <w:rPr>
          <w:rFonts w:ascii="Times New Roman" w:hAnsi="Times New Roman"/>
          <w:b w:val="1"/>
          <w:sz w:val="24"/>
        </w:rPr>
        <w:t xml:space="preserve">материалы подготовлены </w:t>
      </w:r>
      <w:r>
        <w:rPr>
          <w:rFonts w:ascii="Times New Roman" w:hAnsi="Times New Roman"/>
          <w:b w:val="1"/>
          <w:sz w:val="24"/>
        </w:rPr>
        <w:t xml:space="preserve">при содействии </w:t>
      </w:r>
      <w:r>
        <w:rPr>
          <w:rFonts w:ascii="Times New Roman" w:hAnsi="Times New Roman"/>
          <w:b w:val="1"/>
          <w:sz w:val="24"/>
        </w:rPr>
        <w:t>С.А.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>Трифанова</w:t>
      </w:r>
      <w:r>
        <w:rPr>
          <w:rFonts w:ascii="Times New Roman" w:hAnsi="Times New Roman"/>
          <w:b w:val="1"/>
          <w:sz w:val="24"/>
        </w:rPr>
        <w:t xml:space="preserve">,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 xml:space="preserve">главного </w:t>
      </w:r>
      <w:r>
        <w:rPr>
          <w:rFonts w:ascii="Times New Roman" w:hAnsi="Times New Roman"/>
          <w:b w:val="1"/>
          <w:sz w:val="24"/>
        </w:rPr>
        <w:t>специалиста</w:t>
      </w:r>
      <w:r>
        <w:rPr>
          <w:rFonts w:ascii="Times New Roman" w:hAnsi="Times New Roman"/>
          <w:b w:val="1"/>
          <w:sz w:val="24"/>
        </w:rPr>
        <w:t xml:space="preserve"> по связям с общественностью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br/>
      </w:r>
      <w:r>
        <w:rPr>
          <w:rFonts w:ascii="Times New Roman" w:hAnsi="Times New Roman"/>
          <w:b w:val="1"/>
          <w:sz w:val="24"/>
        </w:rPr>
        <w:t>МКУ «Центр</w:t>
      </w:r>
      <w:r>
        <w:rPr>
          <w:rFonts w:ascii="Times New Roman" w:hAnsi="Times New Roman"/>
          <w:b w:val="1"/>
          <w:sz w:val="24"/>
        </w:rPr>
        <w:t xml:space="preserve"> по работе с населением</w:t>
      </w:r>
      <w:bookmarkStart w:id="1" w:name="_GoBack"/>
      <w:bookmarkEnd w:id="1"/>
      <w:r>
        <w:rPr>
          <w:rFonts w:ascii="Times New Roman" w:hAnsi="Times New Roman"/>
          <w:b w:val="1"/>
          <w:sz w:val="24"/>
        </w:rPr>
        <w:t>»)</w:t>
      </w:r>
    </w:p>
    <w:p w14:paraId="21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Данные методические рекомендации могут быть полезны как начинающим составителям </w:t>
      </w:r>
      <w:r>
        <w:rPr>
          <w:rFonts w:ascii="Times New Roman" w:hAnsi="Times New Roman"/>
          <w:sz w:val="24"/>
        </w:rPr>
        <w:t xml:space="preserve">генеалогического древа, так и тем, кто хочет </w:t>
      </w:r>
      <w:r>
        <w:rPr>
          <w:rFonts w:ascii="Times New Roman" w:hAnsi="Times New Roman"/>
          <w:sz w:val="24"/>
        </w:rPr>
        <w:t xml:space="preserve">после акции «Мы семья» </w:t>
      </w:r>
      <w:r>
        <w:rPr>
          <w:rFonts w:ascii="Times New Roman" w:hAnsi="Times New Roman"/>
          <w:sz w:val="24"/>
        </w:rPr>
        <w:t xml:space="preserve">продолжить заниматься сбором </w:t>
      </w:r>
      <w:r>
        <w:rPr>
          <w:rFonts w:ascii="Times New Roman" w:hAnsi="Times New Roman"/>
          <w:sz w:val="24"/>
        </w:rPr>
        <w:t>информации для семейного архива и изучения родословной.</w:t>
      </w:r>
    </w:p>
    <w:p w14:paraId="22000000">
      <w:pPr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 архивом в этом контексте </w:t>
      </w:r>
      <w:r>
        <w:rPr>
          <w:rFonts w:ascii="Times New Roman" w:hAnsi="Times New Roman"/>
          <w:sz w:val="24"/>
        </w:rPr>
        <w:t>следует понимать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комплекс документов, возникший в результате жизни и деятельности того или иного конкре</w:t>
      </w:r>
      <w:r>
        <w:rPr>
          <w:rFonts w:ascii="Times New Roman" w:hAnsi="Times New Roman"/>
          <w:sz w:val="24"/>
        </w:rPr>
        <w:t>тного лица или семьи (личный архив</w:t>
      </w:r>
      <w:r>
        <w:rPr>
          <w:rFonts w:ascii="Times New Roman" w:hAnsi="Times New Roman"/>
          <w:sz w:val="24"/>
        </w:rPr>
        <w:t>, семейный архив).</w:t>
      </w:r>
    </w:p>
    <w:p w14:paraId="23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2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Этапы генеалогического исследования</w:t>
      </w:r>
    </w:p>
    <w:p w14:paraId="25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4"/>
        </w:rPr>
      </w:pPr>
    </w:p>
    <w:p w14:paraId="26000000">
      <w:pPr>
        <w:pStyle w:val="Style_1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Сбор начальной известной информации</w:t>
      </w:r>
    </w:p>
    <w:p w14:paraId="27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Первый источник</w:t>
      </w:r>
      <w:r>
        <w:rPr>
          <w:rFonts w:ascii="Times New Roman" w:hAnsi="Times New Roman"/>
          <w:sz w:val="24"/>
        </w:rPr>
        <w:t xml:space="preserve"> – это документы, которые находятся рядом. </w:t>
      </w:r>
      <w:r>
        <w:rPr>
          <w:rFonts w:ascii="Times New Roman" w:hAnsi="Times New Roman"/>
          <w:sz w:val="24"/>
        </w:rPr>
        <w:t xml:space="preserve">Необходимо провести </w:t>
      </w:r>
      <w:r>
        <w:rPr>
          <w:rFonts w:ascii="Times New Roman" w:hAnsi="Times New Roman"/>
          <w:sz w:val="24"/>
        </w:rPr>
        <w:t xml:space="preserve">тщательную </w:t>
      </w:r>
      <w:r>
        <w:rPr>
          <w:rFonts w:ascii="Times New Roman" w:hAnsi="Times New Roman"/>
          <w:sz w:val="24"/>
        </w:rPr>
        <w:t xml:space="preserve">ревизию </w:t>
      </w:r>
      <w:r>
        <w:rPr>
          <w:rFonts w:ascii="Times New Roman" w:hAnsi="Times New Roman"/>
          <w:sz w:val="24"/>
        </w:rPr>
        <w:t>в доме</w:t>
      </w:r>
      <w:r>
        <w:rPr>
          <w:rFonts w:ascii="Times New Roman" w:hAnsi="Times New Roman"/>
          <w:sz w:val="24"/>
        </w:rPr>
        <w:t xml:space="preserve"> на предмет </w:t>
      </w:r>
      <w:r>
        <w:rPr>
          <w:rFonts w:ascii="Times New Roman" w:hAnsi="Times New Roman"/>
          <w:sz w:val="24"/>
        </w:rPr>
        <w:t xml:space="preserve">старых, забытых </w:t>
      </w:r>
      <w:r>
        <w:rPr>
          <w:rFonts w:ascii="Times New Roman" w:hAnsi="Times New Roman"/>
          <w:sz w:val="24"/>
        </w:rPr>
        <w:t xml:space="preserve">документов, фотографий, </w:t>
      </w:r>
      <w:r>
        <w:rPr>
          <w:rFonts w:ascii="Times New Roman" w:hAnsi="Times New Roman"/>
          <w:sz w:val="24"/>
        </w:rPr>
        <w:t xml:space="preserve">дневников, </w:t>
      </w:r>
      <w:r>
        <w:rPr>
          <w:rFonts w:ascii="Times New Roman" w:hAnsi="Times New Roman"/>
          <w:sz w:val="24"/>
        </w:rPr>
        <w:t xml:space="preserve">писем. Имеет значение место рождения и жительства человека, начавшего исследование: если он родом из деревни, искать информацию следует в своем родовом доме. </w:t>
      </w:r>
    </w:p>
    <w:p w14:paraId="28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поиске о</w:t>
      </w:r>
      <w:r>
        <w:rPr>
          <w:rFonts w:ascii="Times New Roman" w:hAnsi="Times New Roman"/>
          <w:sz w:val="24"/>
        </w:rPr>
        <w:t>братить вниман</w:t>
      </w:r>
      <w:r>
        <w:rPr>
          <w:rFonts w:ascii="Times New Roman" w:hAnsi="Times New Roman"/>
          <w:sz w:val="24"/>
        </w:rPr>
        <w:t xml:space="preserve">ие на даты, подписи на оборотной стороне фотографий. Если на фотографии запечатлен родственник в военной форме, по обмундированию можно понять род войск и чин военного. </w:t>
      </w:r>
    </w:p>
    <w:p w14:paraId="29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Второй источник</w:t>
      </w:r>
      <w:r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 xml:space="preserve">взаимодействие с близкими и дальними родственниками. </w:t>
      </w:r>
      <w:r>
        <w:rPr>
          <w:rFonts w:ascii="Times New Roman" w:hAnsi="Times New Roman"/>
          <w:sz w:val="24"/>
        </w:rPr>
        <w:t>По итогам собранных документов д</w:t>
      </w:r>
      <w:r>
        <w:rPr>
          <w:rFonts w:ascii="Times New Roman" w:hAnsi="Times New Roman"/>
          <w:sz w:val="24"/>
        </w:rPr>
        <w:t>ля более полной н</w:t>
      </w:r>
      <w:r>
        <w:rPr>
          <w:rFonts w:ascii="Times New Roman" w:hAnsi="Times New Roman"/>
          <w:sz w:val="24"/>
        </w:rPr>
        <w:t>ачальной информации с</w:t>
      </w:r>
      <w:r>
        <w:rPr>
          <w:rFonts w:ascii="Times New Roman" w:hAnsi="Times New Roman"/>
          <w:sz w:val="24"/>
        </w:rPr>
        <w:t>ледует заранее подготовить вопросы (например, девичья фамилия, год рождения, национальность, образование, данные о семье, детях, участие в войне и других значимых общественных событиях и 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д.). </w:t>
      </w:r>
    </w:p>
    <w:p w14:paraId="2A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Следует быть готовыми к тому, что человек не захочет делиться информацией или отнесется к этому равнодушно. В этом случае стоит набраться терпения и объяснить, что интересующие вопросы задаются не из любопытства, и это часть серьезного исследования рода семьи.</w:t>
      </w:r>
      <w:r>
        <w:rPr>
          <w:rFonts w:ascii="Times New Roman" w:hAnsi="Times New Roman"/>
          <w:sz w:val="24"/>
        </w:rPr>
        <w:t xml:space="preserve"> </w:t>
      </w:r>
    </w:p>
    <w:p w14:paraId="2B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Общение с родственниками может наполнить полученные факты эмоциями и воспоминаниями. Рекомендуется записывать и фиксировать все, что появится в разговоре, даже если на первый взгляд эти данные кажутся несущественными (характеристика человека, прозвища, оценочные суждения, </w:t>
      </w:r>
      <w:r>
        <w:rPr>
          <w:rFonts w:ascii="Times New Roman" w:hAnsi="Times New Roman"/>
          <w:sz w:val="24"/>
        </w:rPr>
        <w:t xml:space="preserve">заболевания, </w:t>
      </w:r>
      <w:r>
        <w:rPr>
          <w:rFonts w:ascii="Times New Roman" w:hAnsi="Times New Roman"/>
          <w:sz w:val="24"/>
        </w:rPr>
        <w:t>черты характера, истории и 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д.).</w:t>
      </w:r>
    </w:p>
    <w:p w14:paraId="2C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Важный т</w:t>
      </w:r>
      <w:r>
        <w:rPr>
          <w:rFonts w:ascii="Times New Roman" w:hAnsi="Times New Roman"/>
          <w:i w:val="1"/>
          <w:sz w:val="24"/>
        </w:rPr>
        <w:t>ехнический момент: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необходимо делать дубликаты видео- и аудиозаписей во избежание потери данных.</w:t>
      </w:r>
    </w:p>
    <w:p w14:paraId="2D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Собирая информацию у родственников, рекомендуется вести так называемый полевой дневник иди дневник наблюдений, куда можно записывать не только результаты исследований родословной, но и делать собственные пометки (писать семейные предания, м</w:t>
      </w:r>
      <w:r>
        <w:rPr>
          <w:rFonts w:ascii="Times New Roman" w:hAnsi="Times New Roman"/>
          <w:sz w:val="24"/>
        </w:rPr>
        <w:t xml:space="preserve">еста, слова, прозвища, повадки и привычки тех или иных членов семьи, </w:t>
      </w:r>
      <w:r>
        <w:rPr>
          <w:rFonts w:ascii="Times New Roman" w:hAnsi="Times New Roman"/>
          <w:sz w:val="24"/>
        </w:rPr>
        <w:t xml:space="preserve">вкладывать фото и т.д.). Такой дневник </w:t>
      </w:r>
      <w:r>
        <w:rPr>
          <w:rFonts w:ascii="Times New Roman" w:hAnsi="Times New Roman"/>
          <w:sz w:val="24"/>
        </w:rPr>
        <w:t xml:space="preserve">будет интересен спустя много лет, и его </w:t>
      </w:r>
      <w:r>
        <w:rPr>
          <w:rFonts w:ascii="Times New Roman" w:hAnsi="Times New Roman"/>
          <w:sz w:val="24"/>
        </w:rPr>
        <w:t>можн</w:t>
      </w:r>
      <w:r>
        <w:rPr>
          <w:rFonts w:ascii="Times New Roman" w:hAnsi="Times New Roman"/>
          <w:sz w:val="24"/>
        </w:rPr>
        <w:t>о передать следующим поколениям для продолжения истории.</w:t>
      </w:r>
    </w:p>
    <w:p w14:paraId="2E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2F000000">
      <w:pPr>
        <w:pStyle w:val="Style_1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собран</w:t>
      </w:r>
      <w:r>
        <w:rPr>
          <w:rFonts w:ascii="Times New Roman" w:hAnsi="Times New Roman"/>
          <w:sz w:val="24"/>
        </w:rPr>
        <w:t xml:space="preserve">ной информации и обеспечение ее </w:t>
      </w:r>
      <w:r>
        <w:rPr>
          <w:rFonts w:ascii="Times New Roman" w:hAnsi="Times New Roman"/>
          <w:sz w:val="24"/>
        </w:rPr>
        <w:t>сохранности</w:t>
      </w:r>
    </w:p>
    <w:p w14:paraId="30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Расс</w:t>
      </w:r>
      <w:r>
        <w:rPr>
          <w:rFonts w:ascii="Times New Roman" w:hAnsi="Times New Roman"/>
          <w:sz w:val="24"/>
        </w:rPr>
        <w:t>ортировать информацию по группам:</w:t>
      </w:r>
    </w:p>
    <w:p w14:paraId="31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Биографические документы.</w:t>
      </w:r>
    </w:p>
    <w:p w14:paraId="32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Дневники и воспоминания.</w:t>
      </w:r>
    </w:p>
    <w:p w14:paraId="33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Материалы служебной и общественной деятельности</w:t>
      </w:r>
      <w:r>
        <w:rPr>
          <w:rFonts w:ascii="Times New Roman" w:hAnsi="Times New Roman"/>
          <w:sz w:val="24"/>
        </w:rPr>
        <w:t>.</w:t>
      </w:r>
    </w:p>
    <w:p w14:paraId="34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Творческие материалы.</w:t>
      </w:r>
    </w:p>
    <w:p w14:paraId="35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Переписка.</w:t>
      </w:r>
    </w:p>
    <w:p w14:paraId="36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Имущественно</w:t>
      </w:r>
      <w:r>
        <w:rPr>
          <w:rFonts w:ascii="Times New Roman" w:hAnsi="Times New Roman"/>
          <w:sz w:val="24"/>
        </w:rPr>
        <w:t>-хозяйственные материалы.</w:t>
      </w:r>
    </w:p>
    <w:p w14:paraId="37000000">
      <w:pPr>
        <w:pStyle w:val="Style_1"/>
        <w:numPr>
          <w:ilvl w:val="0"/>
          <w:numId w:val="2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Изобразительные материалы</w:t>
      </w:r>
      <w:r>
        <w:rPr>
          <w:rFonts w:ascii="Times New Roman" w:hAnsi="Times New Roman"/>
          <w:sz w:val="24"/>
        </w:rPr>
        <w:t xml:space="preserve"> (рисунки, эскизы).</w:t>
      </w:r>
    </w:p>
    <w:p w14:paraId="38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Сохранность предполагает хранение семейного архива в одном месте. Чтобы </w:t>
      </w:r>
      <w:r>
        <w:rPr>
          <w:rFonts w:ascii="Times New Roman" w:hAnsi="Times New Roman"/>
          <w:sz w:val="24"/>
        </w:rPr>
        <w:t xml:space="preserve">семейным </w:t>
      </w:r>
      <w:r>
        <w:rPr>
          <w:rFonts w:ascii="Times New Roman" w:hAnsi="Times New Roman"/>
          <w:sz w:val="24"/>
        </w:rPr>
        <w:t xml:space="preserve">архивом было удобно пользоваться, следует разложить документы согласно </w:t>
      </w:r>
      <w:r>
        <w:rPr>
          <w:rFonts w:ascii="Times New Roman" w:hAnsi="Times New Roman"/>
          <w:sz w:val="24"/>
        </w:rPr>
        <w:t xml:space="preserve">хронологии и </w:t>
      </w:r>
      <w:r>
        <w:rPr>
          <w:rFonts w:ascii="Times New Roman" w:hAnsi="Times New Roman"/>
          <w:sz w:val="24"/>
        </w:rPr>
        <w:t xml:space="preserve">определенным темам, подобрать папки, коробки, конверты. </w:t>
      </w:r>
    </w:p>
    <w:p w14:paraId="39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 течением времени многие документы и фотографии теряют первоначальный внешний вид, поэтому </w:t>
      </w:r>
      <w:r>
        <w:rPr>
          <w:rFonts w:ascii="Times New Roman" w:hAnsi="Times New Roman"/>
          <w:sz w:val="24"/>
        </w:rPr>
        <w:t>подлинники</w:t>
      </w:r>
      <w:r>
        <w:rPr>
          <w:rFonts w:ascii="Times New Roman" w:hAnsi="Times New Roman"/>
          <w:sz w:val="24"/>
        </w:rPr>
        <w:t xml:space="preserve"> следует отсканировать или </w:t>
      </w:r>
      <w:r>
        <w:rPr>
          <w:rFonts w:ascii="Times New Roman" w:hAnsi="Times New Roman"/>
          <w:sz w:val="24"/>
        </w:rPr>
        <w:t>заламинировать</w:t>
      </w:r>
      <w:r>
        <w:rPr>
          <w:rFonts w:ascii="Times New Roman" w:hAnsi="Times New Roman"/>
          <w:sz w:val="24"/>
        </w:rPr>
        <w:t xml:space="preserve"> и далее работать с копиями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Если это невозможно, необходимо сложить документ</w:t>
      </w:r>
      <w:r>
        <w:rPr>
          <w:rFonts w:ascii="Times New Roman" w:hAnsi="Times New Roman"/>
          <w:sz w:val="24"/>
        </w:rPr>
        <w:t xml:space="preserve"> внутрь прозрачного файла вместе с листо</w:t>
      </w:r>
      <w:r>
        <w:rPr>
          <w:rFonts w:ascii="Times New Roman" w:hAnsi="Times New Roman"/>
          <w:sz w:val="24"/>
        </w:rPr>
        <w:t>м обычной сухой бумаги, выдавить воздух и поместить файл</w:t>
      </w:r>
      <w:r>
        <w:rPr>
          <w:rFonts w:ascii="Times New Roman" w:hAnsi="Times New Roman"/>
          <w:sz w:val="24"/>
        </w:rPr>
        <w:t xml:space="preserve"> в жесткую папку.</w:t>
      </w:r>
      <w:r>
        <w:rPr>
          <w:rFonts w:ascii="Times New Roman" w:hAnsi="Times New Roman"/>
          <w:sz w:val="24"/>
        </w:rPr>
        <w:t xml:space="preserve"> Необходимо беречь архив от влаги. </w:t>
      </w:r>
    </w:p>
    <w:p w14:paraId="3A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B000000">
      <w:pPr>
        <w:pStyle w:val="Style_1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 (подбор) местной информации</w:t>
      </w:r>
    </w:p>
    <w:p w14:paraId="3C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Информация, связанная с общественно значимыми событиями </w:t>
      </w:r>
      <w:r>
        <w:rPr>
          <w:rFonts w:ascii="Times New Roman" w:hAnsi="Times New Roman"/>
          <w:sz w:val="24"/>
        </w:rPr>
        <w:t xml:space="preserve">(восстановление колхоза, освоение целины и др.) </w:t>
      </w:r>
      <w:r>
        <w:rPr>
          <w:rFonts w:ascii="Times New Roman" w:hAnsi="Times New Roman"/>
          <w:sz w:val="24"/>
        </w:rPr>
        <w:t>и участием в них ро</w:t>
      </w:r>
      <w:r>
        <w:rPr>
          <w:rFonts w:ascii="Times New Roman" w:hAnsi="Times New Roman"/>
          <w:sz w:val="24"/>
        </w:rPr>
        <w:t>дных, которую получают у работников определенной сферы деятельности: администрация, колхоз, почта, леспромхоз и т.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д. Данные о конкретном человеке запрашиваются не с точки зрения родственных отношений, а с точки зрения тех событий, которые происходили на местности.</w:t>
      </w:r>
    </w:p>
    <w:p w14:paraId="3D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исследования генеалогического древа в краеведческом аспекте интересным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мо</w:t>
      </w:r>
      <w:r>
        <w:rPr>
          <w:rFonts w:ascii="Times New Roman" w:hAnsi="Times New Roman"/>
          <w:sz w:val="24"/>
        </w:rPr>
        <w:t>гу</w:t>
      </w:r>
      <w:r>
        <w:rPr>
          <w:rFonts w:ascii="Times New Roman" w:hAnsi="Times New Roman"/>
          <w:sz w:val="24"/>
        </w:rPr>
        <w:t>т быть семейные походы или поездки в места</w:t>
      </w:r>
      <w:r>
        <w:rPr>
          <w:rFonts w:ascii="Times New Roman" w:hAnsi="Times New Roman"/>
          <w:sz w:val="24"/>
        </w:rPr>
        <w:t>, в которых раньше жили родные. Так можно собрать генеалогическую карту.</w:t>
      </w:r>
    </w:p>
    <w:p w14:paraId="3E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3F000000">
      <w:pPr>
        <w:pStyle w:val="Style_1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Поиск информации в сети Интернет</w:t>
      </w:r>
    </w:p>
    <w:p w14:paraId="40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Часть сведений, касающихся участников военных событий, можно найти на различных </w:t>
      </w:r>
      <w:r>
        <w:rPr>
          <w:rFonts w:ascii="Times New Roman" w:hAnsi="Times New Roman"/>
          <w:sz w:val="24"/>
        </w:rPr>
        <w:t>интернет-ресурсах</w:t>
      </w:r>
      <w:r>
        <w:rPr>
          <w:rFonts w:ascii="Times New Roman" w:hAnsi="Times New Roman"/>
          <w:sz w:val="24"/>
        </w:rPr>
        <w:t>.</w:t>
      </w:r>
    </w:p>
    <w:p w14:paraId="41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Первая мировая война 1914–1918 годов. Алфавитные списки потерь нижних чинов: </w:t>
      </w:r>
      <w:r>
        <w:rPr>
          <w:rFonts w:ascii="Times New Roman" w:hAnsi="Times New Roman"/>
          <w:sz w:val="24"/>
        </w:rPr>
        <w:t>1914.svrt.ru.</w:t>
      </w:r>
      <w:r>
        <w:rPr>
          <w:rFonts w:ascii="Times New Roman" w:hAnsi="Times New Roman"/>
          <w:sz w:val="24"/>
        </w:rPr>
        <w:t xml:space="preserve"> </w:t>
      </w:r>
    </w:p>
    <w:p w14:paraId="42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Памяти героев Великой войны 1914–1918 годов: </w:t>
      </w:r>
      <w:r>
        <w:rPr>
          <w:rFonts w:ascii="Times New Roman" w:hAnsi="Times New Roman"/>
          <w:sz w:val="24"/>
        </w:rPr>
        <w:t>gwar.mil.ru</w:t>
      </w:r>
      <w:r>
        <w:rPr>
          <w:rFonts w:ascii="Times New Roman" w:hAnsi="Times New Roman"/>
          <w:sz w:val="24"/>
        </w:rPr>
        <w:t>.</w:t>
      </w:r>
    </w:p>
    <w:p w14:paraId="43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Память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народа</w:t>
      </w:r>
      <w:r>
        <w:rPr>
          <w:rFonts w:ascii="Times New Roman" w:hAnsi="Times New Roman"/>
          <w:sz w:val="24"/>
        </w:rPr>
        <w:t>:</w:t>
      </w:r>
      <w:r>
        <w:rPr>
          <w:sz w:val="24"/>
        </w:rPr>
        <w:fldChar w:fldCharType="begin"/>
      </w:r>
      <w:r>
        <w:rPr>
          <w:sz w:val="24"/>
        </w:rPr>
        <w:instrText>HYPERLINK "https://pamyat-naroda.ru/"</w:instrText>
      </w:r>
      <w:r>
        <w:rPr>
          <w:sz w:val="24"/>
        </w:rPr>
        <w:fldChar w:fldCharType="separate"/>
      </w: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pamyat-naroda.ru</w:t>
      </w:r>
      <w:r>
        <w:rPr>
          <w:sz w:val="24"/>
        </w:rPr>
        <w:fldChar w:fldCharType="end"/>
      </w:r>
      <w:r>
        <w:rPr>
          <w:sz w:val="24"/>
        </w:rPr>
        <w:t>.</w:t>
      </w:r>
    </w:p>
    <w:p w14:paraId="44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База военнопленных времен Второй мировой войны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"https://ru.stsg.de/cms/dokstelle/content/o-tsentre/tsentr-dokumentatsii"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ru.stsg.de/</w:t>
      </w:r>
      <w:r>
        <w:rPr>
          <w:rStyle w:val="Style_2_ch"/>
          <w:rFonts w:ascii="Times New Roman" w:hAnsi="Times New Roman"/>
          <w:sz w:val="24"/>
        </w:rPr>
        <w:t>cms</w:t>
      </w:r>
      <w:r>
        <w:rPr>
          <w:rStyle w:val="Style_2_ch"/>
          <w:rFonts w:ascii="Times New Roman" w:hAnsi="Times New Roman"/>
          <w:sz w:val="24"/>
        </w:rPr>
        <w:t>/</w:t>
      </w:r>
      <w:r>
        <w:rPr>
          <w:rStyle w:val="Style_2_ch"/>
          <w:rFonts w:ascii="Times New Roman" w:hAnsi="Times New Roman"/>
          <w:sz w:val="24"/>
        </w:rPr>
        <w:t>dokstelle</w:t>
      </w:r>
      <w:r>
        <w:rPr>
          <w:rStyle w:val="Style_2_ch"/>
          <w:rFonts w:ascii="Times New Roman" w:hAnsi="Times New Roman"/>
          <w:sz w:val="24"/>
        </w:rPr>
        <w:t>/</w:t>
      </w:r>
      <w:r>
        <w:rPr>
          <w:rStyle w:val="Style_2_ch"/>
          <w:rFonts w:ascii="Times New Roman" w:hAnsi="Times New Roman"/>
          <w:sz w:val="24"/>
        </w:rPr>
        <w:t>content</w:t>
      </w:r>
      <w:r>
        <w:rPr>
          <w:rStyle w:val="Style_2_ch"/>
          <w:rFonts w:ascii="Times New Roman" w:hAnsi="Times New Roman"/>
          <w:sz w:val="24"/>
        </w:rPr>
        <w:t>/o-</w:t>
      </w:r>
      <w:r>
        <w:rPr>
          <w:rStyle w:val="Style_2_ch"/>
          <w:rFonts w:ascii="Times New Roman" w:hAnsi="Times New Roman"/>
          <w:sz w:val="24"/>
        </w:rPr>
        <w:t>tsentre</w:t>
      </w:r>
      <w:r>
        <w:rPr>
          <w:rStyle w:val="Style_2_ch"/>
          <w:rFonts w:ascii="Times New Roman" w:hAnsi="Times New Roman"/>
          <w:sz w:val="24"/>
        </w:rPr>
        <w:t>/</w:t>
      </w:r>
      <w:r>
        <w:rPr>
          <w:rStyle w:val="Style_2_ch"/>
          <w:rFonts w:ascii="Times New Roman" w:hAnsi="Times New Roman"/>
          <w:sz w:val="24"/>
        </w:rPr>
        <w:t>tsentr-dokumentatsii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Style w:val="Style_2_ch"/>
          <w:rFonts w:ascii="Times New Roman" w:hAnsi="Times New Roman"/>
          <w:sz w:val="24"/>
        </w:rPr>
        <w:t>.</w:t>
      </w:r>
    </w:p>
    <w:p w14:paraId="45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Style w:val="Style_2_ch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Подвиг народа в Великой Отечественной войне 1941–1945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годов: </w:t>
      </w:r>
      <w:r>
        <w:rPr>
          <w:rStyle w:val="Style_2_ch"/>
          <w:rFonts w:ascii="Times New Roman" w:hAnsi="Times New Roman"/>
          <w:sz w:val="24"/>
        </w:rPr>
        <w:fldChar w:fldCharType="begin"/>
      </w:r>
      <w:r>
        <w:rPr>
          <w:rStyle w:val="Style_2_ch"/>
          <w:rFonts w:ascii="Times New Roman" w:hAnsi="Times New Roman"/>
          <w:sz w:val="24"/>
        </w:rPr>
        <w:instrText>HYPERLINK "http://podvignaroda.ru/?#tab=navHome"</w:instrText>
      </w:r>
      <w:r>
        <w:rPr>
          <w:rStyle w:val="Style_2_ch"/>
          <w:rFonts w:ascii="Times New Roman" w:hAnsi="Times New Roman"/>
          <w:sz w:val="24"/>
        </w:rPr>
        <w:fldChar w:fldCharType="separate"/>
      </w:r>
      <w:r>
        <w:rPr>
          <w:rStyle w:val="Style_2_ch"/>
          <w:rFonts w:ascii="Times New Roman" w:hAnsi="Times New Roman"/>
          <w:sz w:val="24"/>
        </w:rPr>
        <w:t>podvignaroda.ru</w:t>
      </w:r>
      <w:r>
        <w:rPr>
          <w:rStyle w:val="Style_2_ch"/>
          <w:rFonts w:ascii="Times New Roman" w:hAnsi="Times New Roman"/>
          <w:sz w:val="24"/>
        </w:rPr>
        <w:t>/?#</w:t>
      </w:r>
      <w:r>
        <w:rPr>
          <w:rStyle w:val="Style_2_ch"/>
          <w:rFonts w:ascii="Times New Roman" w:hAnsi="Times New Roman"/>
          <w:sz w:val="24"/>
        </w:rPr>
        <w:t>tab</w:t>
      </w:r>
      <w:r>
        <w:rPr>
          <w:rStyle w:val="Style_2_ch"/>
          <w:rFonts w:ascii="Times New Roman" w:hAnsi="Times New Roman"/>
          <w:sz w:val="24"/>
        </w:rPr>
        <w:t>=</w:t>
      </w:r>
      <w:r>
        <w:rPr>
          <w:rStyle w:val="Style_2_ch"/>
          <w:rFonts w:ascii="Times New Roman" w:hAnsi="Times New Roman"/>
          <w:sz w:val="24"/>
        </w:rPr>
        <w:t>navHome</w:t>
      </w:r>
      <w:r>
        <w:rPr>
          <w:rStyle w:val="Style_2_ch"/>
          <w:rFonts w:ascii="Times New Roman" w:hAnsi="Times New Roman"/>
          <w:sz w:val="24"/>
        </w:rPr>
        <w:fldChar w:fldCharType="end"/>
      </w:r>
      <w:r>
        <w:rPr>
          <w:rStyle w:val="Style_2_ch"/>
          <w:rFonts w:ascii="Times New Roman" w:hAnsi="Times New Roman"/>
          <w:sz w:val="24"/>
        </w:rPr>
        <w:t>.</w:t>
      </w:r>
    </w:p>
    <w:p w14:paraId="46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Кроме того, алгоритм </w:t>
      </w:r>
      <w:r>
        <w:rPr>
          <w:rFonts w:ascii="Times New Roman" w:hAnsi="Times New Roman"/>
          <w:sz w:val="24"/>
        </w:rPr>
        <w:t>поиска информации о родственниках, принимавших участие в Великой Отечественной войне</w:t>
      </w:r>
      <w:r>
        <w:rPr>
          <w:rFonts w:ascii="Times New Roman" w:hAnsi="Times New Roman"/>
          <w:sz w:val="24"/>
        </w:rPr>
        <w:t>, представлен в методической разработке «</w:t>
      </w:r>
      <w:r>
        <w:rPr>
          <w:rFonts w:ascii="Times New Roman" w:hAnsi="Times New Roman"/>
          <w:sz w:val="24"/>
        </w:rPr>
        <w:t>Краткий конспект информационного часа «Судьба солдата», посвященного памятной дате 3 декабря «День неизвестного солдата»</w:t>
      </w:r>
      <w:r>
        <w:rPr>
          <w:rFonts w:ascii="Times New Roman" w:hAnsi="Times New Roman"/>
          <w:sz w:val="24"/>
        </w:rPr>
        <w:t>, кот</w:t>
      </w:r>
      <w:r>
        <w:rPr>
          <w:rFonts w:ascii="Times New Roman" w:hAnsi="Times New Roman"/>
          <w:sz w:val="24"/>
        </w:rPr>
        <w:t xml:space="preserve">орая размещена на молодежном портале Вологодской области </w:t>
      </w:r>
      <w:r>
        <w:rPr>
          <w:rFonts w:ascii="Times New Roman" w:hAnsi="Times New Roman"/>
          <w:sz w:val="24"/>
        </w:rPr>
        <w:t>upinfo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ru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разделе «Документы/Методические рекомендации».</w:t>
      </w:r>
    </w:p>
    <w:p w14:paraId="47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</w:p>
    <w:p w14:paraId="48000000">
      <w:pPr>
        <w:pStyle w:val="Style_1"/>
        <w:numPr>
          <w:ilvl w:val="0"/>
          <w:numId w:val="1"/>
        </w:num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 исследование документов в архиве</w:t>
      </w:r>
    </w:p>
    <w:p w14:paraId="49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архив обращаются только по</w:t>
      </w:r>
      <w:r>
        <w:rPr>
          <w:rFonts w:ascii="Times New Roman" w:hAnsi="Times New Roman"/>
          <w:sz w:val="24"/>
        </w:rPr>
        <w:t xml:space="preserve">сле того, как уже собрана определенная информация </w:t>
      </w:r>
      <w:r>
        <w:rPr>
          <w:rFonts w:ascii="Times New Roman" w:hAnsi="Times New Roman"/>
          <w:sz w:val="24"/>
        </w:rPr>
        <w:t>(см. пункт</w:t>
      </w:r>
      <w:r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1, 3, 4).</w:t>
      </w:r>
      <w:r>
        <w:rPr>
          <w:rFonts w:ascii="Times New Roman" w:hAnsi="Times New Roman"/>
          <w:sz w:val="24"/>
        </w:rPr>
        <w:t xml:space="preserve"> При обращении в государственный архив Вологодской области выполняется генеалогический запрос, результатом которого </w:t>
      </w:r>
      <w:r>
        <w:rPr>
          <w:rFonts w:ascii="Times New Roman" w:hAnsi="Times New Roman"/>
          <w:sz w:val="24"/>
        </w:rPr>
        <w:t>является архивная справка со сведениями (выписками, цитатами), относящи</w:t>
      </w:r>
      <w:r>
        <w:rPr>
          <w:rFonts w:ascii="Times New Roman" w:hAnsi="Times New Roman"/>
          <w:sz w:val="24"/>
        </w:rPr>
        <w:t>мися к истории отдельного рода.</w:t>
      </w:r>
    </w:p>
    <w:p w14:paraId="4A000000">
      <w:pPr>
        <w:tabs>
          <w:tab w:leader="none" w:pos="851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выполняется запрос в архивный отдел администрации муниципального района, необходимо написать обращение в произвольной форме</w:t>
      </w:r>
      <w:r>
        <w:rPr>
          <w:rFonts w:ascii="Times New Roman" w:hAnsi="Times New Roman"/>
          <w:sz w:val="24"/>
        </w:rPr>
        <w:t>, указав всю имеющуюся информацию</w:t>
      </w:r>
      <w:r>
        <w:rPr>
          <w:rFonts w:ascii="Times New Roman" w:hAnsi="Times New Roman"/>
          <w:sz w:val="24"/>
        </w:rPr>
        <w:t>. Результатом поиск</w:t>
      </w:r>
      <w:r>
        <w:rPr>
          <w:rFonts w:ascii="Times New Roman" w:hAnsi="Times New Roman"/>
          <w:sz w:val="24"/>
        </w:rPr>
        <w:t>а будет</w:t>
      </w:r>
      <w:r>
        <w:rPr>
          <w:rFonts w:ascii="Times New Roman" w:hAnsi="Times New Roman"/>
          <w:sz w:val="24"/>
        </w:rPr>
        <w:t xml:space="preserve"> письменный </w:t>
      </w:r>
      <w:r>
        <w:rPr>
          <w:rFonts w:ascii="Times New Roman" w:hAnsi="Times New Roman"/>
          <w:sz w:val="24"/>
        </w:rPr>
        <w:t>ответ по запросу.</w:t>
      </w: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6"/>
    <w:next w:val="Style_3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" w:type="paragraph">
    <w:name w:val="List Paragraph"/>
    <w:basedOn w:val="Style_3"/>
    <w:link w:val="Style_1_ch"/>
    <w:pPr>
      <w:ind w:firstLine="0" w:left="720"/>
      <w:contextualSpacing w:val="1"/>
    </w:pPr>
  </w:style>
  <w:style w:styleId="Style_1_ch" w:type="character">
    <w:name w:val="List Paragraph"/>
    <w:basedOn w:val="Style_3_ch"/>
    <w:link w:val="Style_1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2" w:type="paragraph">
    <w:name w:val="Hyperlink"/>
    <w:basedOn w:val="Style_6"/>
    <w:link w:val="Style_2_ch"/>
    <w:rPr>
      <w:color w:val="0000FF"/>
      <w:u w:val="single"/>
    </w:rPr>
  </w:style>
  <w:style w:styleId="Style_2_ch" w:type="character">
    <w:name w:val="Hyperlink"/>
    <w:basedOn w:val="Style_6_ch"/>
    <w:link w:val="Style_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3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3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3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3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2022-07-28T14:12:07Z</dcterms:modified>
</cp:coreProperties>
</file>